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859345" w14:textId="77777777" w:rsidR="00BF6C31" w:rsidRDefault="00E60204" w:rsidP="00BF6C31">
      <w:pPr>
        <w:jc w:val="center"/>
        <w:rPr>
          <w:rFonts w:ascii="Arial" w:hAnsi="Arial" w:cs="Arial"/>
          <w:b/>
          <w:sz w:val="28"/>
          <w:szCs w:val="28"/>
        </w:rPr>
      </w:pPr>
      <w:r w:rsidRPr="00BF6C31">
        <w:rPr>
          <w:rFonts w:ascii="Arial" w:hAnsi="Arial" w:cs="Arial"/>
          <w:b/>
          <w:sz w:val="28"/>
          <w:szCs w:val="28"/>
        </w:rPr>
        <w:t>Dorothy House Hospice C</w:t>
      </w:r>
      <w:r w:rsidR="00BF6C31">
        <w:rPr>
          <w:rFonts w:ascii="Arial" w:hAnsi="Arial" w:cs="Arial"/>
          <w:b/>
          <w:sz w:val="28"/>
          <w:szCs w:val="28"/>
        </w:rPr>
        <w:t xml:space="preserve">are:  Gender Pay Gap Report </w:t>
      </w:r>
    </w:p>
    <w:p w14:paraId="386FC11E" w14:textId="151C724D" w:rsidR="00B0770E" w:rsidRPr="00BF6C31" w:rsidRDefault="00BE6C69" w:rsidP="00BF6C31">
      <w:pPr>
        <w:jc w:val="center"/>
        <w:rPr>
          <w:rFonts w:ascii="Arial" w:hAnsi="Arial" w:cs="Arial"/>
          <w:b/>
          <w:sz w:val="28"/>
          <w:szCs w:val="28"/>
        </w:rPr>
      </w:pPr>
      <w:r>
        <w:rPr>
          <w:rFonts w:ascii="Arial" w:hAnsi="Arial" w:cs="Arial"/>
          <w:b/>
          <w:sz w:val="28"/>
          <w:szCs w:val="28"/>
        </w:rPr>
        <w:t xml:space="preserve">(As </w:t>
      </w:r>
      <w:proofErr w:type="gramStart"/>
      <w:r>
        <w:rPr>
          <w:rFonts w:ascii="Arial" w:hAnsi="Arial" w:cs="Arial"/>
          <w:b/>
          <w:sz w:val="28"/>
          <w:szCs w:val="28"/>
        </w:rPr>
        <w:t>at</w:t>
      </w:r>
      <w:proofErr w:type="gramEnd"/>
      <w:r>
        <w:rPr>
          <w:rFonts w:ascii="Arial" w:hAnsi="Arial" w:cs="Arial"/>
          <w:b/>
          <w:sz w:val="28"/>
          <w:szCs w:val="28"/>
        </w:rPr>
        <w:t xml:space="preserve"> </w:t>
      </w:r>
      <w:r w:rsidR="00BF6C31">
        <w:rPr>
          <w:rFonts w:ascii="Arial" w:hAnsi="Arial" w:cs="Arial"/>
          <w:b/>
          <w:sz w:val="28"/>
          <w:szCs w:val="28"/>
        </w:rPr>
        <w:t xml:space="preserve">5 April </w:t>
      </w:r>
      <w:r w:rsidR="00153DB2">
        <w:rPr>
          <w:rFonts w:ascii="Arial" w:hAnsi="Arial" w:cs="Arial"/>
          <w:b/>
          <w:sz w:val="28"/>
          <w:szCs w:val="28"/>
        </w:rPr>
        <w:t>202</w:t>
      </w:r>
      <w:r w:rsidR="00702E02">
        <w:rPr>
          <w:rFonts w:ascii="Arial" w:hAnsi="Arial" w:cs="Arial"/>
          <w:b/>
          <w:sz w:val="28"/>
          <w:szCs w:val="28"/>
        </w:rPr>
        <w:t>3</w:t>
      </w:r>
      <w:r w:rsidR="00153DB2">
        <w:rPr>
          <w:rFonts w:ascii="Arial" w:hAnsi="Arial" w:cs="Arial"/>
          <w:b/>
          <w:sz w:val="28"/>
          <w:szCs w:val="28"/>
        </w:rPr>
        <w:t>)</w:t>
      </w:r>
    </w:p>
    <w:p w14:paraId="325069E6" w14:textId="77777777" w:rsidR="00E60204" w:rsidRPr="003168B8" w:rsidRDefault="00E60204" w:rsidP="00E60204">
      <w:pPr>
        <w:shd w:val="clear" w:color="auto" w:fill="FFFFFF"/>
        <w:spacing w:after="150" w:line="240" w:lineRule="auto"/>
        <w:rPr>
          <w:rFonts w:ascii="Arial" w:eastAsia="Times New Roman" w:hAnsi="Arial" w:cs="Arial"/>
          <w:b/>
          <w:color w:val="222222"/>
          <w:lang w:eastAsia="en-GB"/>
        </w:rPr>
      </w:pPr>
      <w:r w:rsidRPr="003168B8">
        <w:rPr>
          <w:rFonts w:ascii="Arial" w:eastAsia="Times New Roman" w:hAnsi="Arial" w:cs="Arial"/>
          <w:b/>
          <w:color w:val="222222"/>
          <w:lang w:eastAsia="en-GB"/>
        </w:rPr>
        <w:t>Introduction</w:t>
      </w:r>
    </w:p>
    <w:p w14:paraId="51FB79C4" w14:textId="77777777" w:rsidR="00E60204" w:rsidRPr="003168B8" w:rsidRDefault="00E60204" w:rsidP="00E60204">
      <w:pPr>
        <w:shd w:val="clear" w:color="auto" w:fill="FFFFFF"/>
        <w:spacing w:after="150" w:line="240" w:lineRule="auto"/>
        <w:rPr>
          <w:rFonts w:ascii="Arial" w:eastAsia="Times New Roman" w:hAnsi="Arial" w:cs="Arial"/>
          <w:color w:val="222222"/>
          <w:lang w:eastAsia="en-GB"/>
        </w:rPr>
      </w:pPr>
      <w:r w:rsidRPr="003168B8">
        <w:rPr>
          <w:rFonts w:ascii="Arial" w:eastAsia="Times New Roman" w:hAnsi="Arial" w:cs="Arial"/>
          <w:color w:val="222222"/>
          <w:lang w:eastAsia="en-GB"/>
        </w:rPr>
        <w:t>As an employer of more than 250 staff, Dorothy House Hospice Care undertakes annual Gender Pay Gap Reporting as required by the Equality Act 2010 (Gender Pay Gap Information) Regulations 2017.</w:t>
      </w:r>
    </w:p>
    <w:p w14:paraId="377B2C8B" w14:textId="77777777" w:rsidR="003168B8" w:rsidRPr="003168B8" w:rsidRDefault="003168B8" w:rsidP="003168B8">
      <w:pPr>
        <w:shd w:val="clear" w:color="auto" w:fill="FFFFFF"/>
        <w:spacing w:after="150" w:line="240" w:lineRule="auto"/>
        <w:rPr>
          <w:rFonts w:ascii="Arial" w:eastAsia="Times New Roman" w:hAnsi="Arial" w:cs="Arial"/>
          <w:color w:val="222222"/>
          <w:lang w:eastAsia="en-GB"/>
        </w:rPr>
      </w:pPr>
      <w:r w:rsidRPr="003168B8">
        <w:rPr>
          <w:rFonts w:ascii="Arial" w:eastAsia="Times New Roman" w:hAnsi="Arial" w:cs="Arial"/>
          <w:color w:val="222222"/>
          <w:lang w:eastAsia="en-GB"/>
        </w:rPr>
        <w:t>Based on a snapshot of 5th April each year, we are required to calculate the following:</w:t>
      </w:r>
    </w:p>
    <w:p w14:paraId="0B68B042" w14:textId="77777777" w:rsidR="00E60204" w:rsidRPr="003168B8" w:rsidRDefault="00E60204" w:rsidP="00E60204">
      <w:pPr>
        <w:shd w:val="clear" w:color="auto" w:fill="FFFFFF"/>
        <w:spacing w:after="150" w:line="240" w:lineRule="auto"/>
        <w:rPr>
          <w:rFonts w:ascii="Arial" w:eastAsia="Times New Roman" w:hAnsi="Arial" w:cs="Arial"/>
          <w:color w:val="222222"/>
          <w:lang w:eastAsia="en-GB"/>
        </w:rPr>
      </w:pPr>
      <w:r w:rsidRPr="003168B8">
        <w:rPr>
          <w:rFonts w:ascii="Arial" w:eastAsia="Times New Roman" w:hAnsi="Arial" w:cs="Arial"/>
          <w:color w:val="222222"/>
          <w:lang w:eastAsia="en-GB"/>
        </w:rPr>
        <w:t>1. M</w:t>
      </w:r>
      <w:r w:rsidR="004A1CBF" w:rsidRPr="003168B8">
        <w:rPr>
          <w:rFonts w:ascii="Arial" w:eastAsia="Times New Roman" w:hAnsi="Arial" w:cs="Arial"/>
          <w:color w:val="222222"/>
          <w:lang w:eastAsia="en-GB"/>
        </w:rPr>
        <w:t>ean gender pay gap</w:t>
      </w:r>
    </w:p>
    <w:p w14:paraId="4A3E8CB2" w14:textId="77777777" w:rsidR="00E60204" w:rsidRPr="003168B8" w:rsidRDefault="00E60204" w:rsidP="00E60204">
      <w:pPr>
        <w:shd w:val="clear" w:color="auto" w:fill="FFFFFF"/>
        <w:spacing w:after="150" w:line="240" w:lineRule="auto"/>
        <w:rPr>
          <w:rFonts w:ascii="Arial" w:eastAsia="Times New Roman" w:hAnsi="Arial" w:cs="Arial"/>
          <w:color w:val="222222"/>
          <w:lang w:eastAsia="en-GB"/>
        </w:rPr>
      </w:pPr>
      <w:r w:rsidRPr="003168B8">
        <w:rPr>
          <w:rFonts w:ascii="Arial" w:eastAsia="Times New Roman" w:hAnsi="Arial" w:cs="Arial"/>
          <w:color w:val="222222"/>
          <w:lang w:eastAsia="en-GB"/>
        </w:rPr>
        <w:t xml:space="preserve">2. Median gender pay gap </w:t>
      </w:r>
    </w:p>
    <w:p w14:paraId="5CA875C2" w14:textId="77777777" w:rsidR="00E60204" w:rsidRDefault="004A1CBF" w:rsidP="00E60204">
      <w:pPr>
        <w:shd w:val="clear" w:color="auto" w:fill="FFFFFF"/>
        <w:spacing w:after="150" w:line="240" w:lineRule="auto"/>
        <w:rPr>
          <w:rFonts w:ascii="Arial" w:eastAsia="Times New Roman" w:hAnsi="Arial" w:cs="Arial"/>
          <w:color w:val="222222"/>
          <w:lang w:eastAsia="en-GB"/>
        </w:rPr>
      </w:pPr>
      <w:r w:rsidRPr="003168B8">
        <w:rPr>
          <w:rFonts w:ascii="Arial" w:eastAsia="Times New Roman" w:hAnsi="Arial" w:cs="Arial"/>
          <w:color w:val="222222"/>
          <w:lang w:eastAsia="en-GB"/>
        </w:rPr>
        <w:t>3</w:t>
      </w:r>
      <w:r w:rsidR="00E60204" w:rsidRPr="003168B8">
        <w:rPr>
          <w:rFonts w:ascii="Arial" w:eastAsia="Times New Roman" w:hAnsi="Arial" w:cs="Arial"/>
          <w:color w:val="222222"/>
          <w:lang w:eastAsia="en-GB"/>
        </w:rPr>
        <w:t>. Proportion of males and females in each quartile</w:t>
      </w:r>
      <w:r w:rsidR="00BF6C31" w:rsidRPr="003168B8">
        <w:rPr>
          <w:rFonts w:ascii="Arial" w:eastAsia="Times New Roman" w:hAnsi="Arial" w:cs="Arial"/>
          <w:color w:val="222222"/>
          <w:lang w:eastAsia="en-GB"/>
        </w:rPr>
        <w:t xml:space="preserve"> pay</w:t>
      </w:r>
      <w:r w:rsidR="00E60204" w:rsidRPr="003168B8">
        <w:rPr>
          <w:rFonts w:ascii="Arial" w:eastAsia="Times New Roman" w:hAnsi="Arial" w:cs="Arial"/>
          <w:color w:val="222222"/>
          <w:lang w:eastAsia="en-GB"/>
        </w:rPr>
        <w:t xml:space="preserve"> band</w:t>
      </w:r>
    </w:p>
    <w:p w14:paraId="2F3A2447" w14:textId="66319793" w:rsidR="00702E02" w:rsidRPr="00702E02" w:rsidRDefault="00702E02" w:rsidP="00702E02">
      <w:pPr>
        <w:shd w:val="clear" w:color="auto" w:fill="FFFFFF"/>
        <w:spacing w:after="150" w:line="240" w:lineRule="auto"/>
        <w:rPr>
          <w:rFonts w:ascii="Arial" w:eastAsia="Times New Roman" w:hAnsi="Arial" w:cs="Arial"/>
          <w:color w:val="222222"/>
          <w:lang w:eastAsia="en-GB"/>
        </w:rPr>
      </w:pPr>
      <w:r>
        <w:rPr>
          <w:rFonts w:ascii="Arial" w:eastAsia="Times New Roman" w:hAnsi="Arial" w:cs="Arial"/>
          <w:color w:val="222222"/>
          <w:lang w:eastAsia="en-GB"/>
        </w:rPr>
        <w:t xml:space="preserve">4. </w:t>
      </w:r>
      <w:bookmarkStart w:id="0" w:name="_Hlk162537100"/>
      <w:r w:rsidRPr="00702E02">
        <w:rPr>
          <w:rFonts w:ascii="Arial" w:eastAsia="Times New Roman" w:hAnsi="Arial" w:cs="Arial"/>
          <w:color w:val="222222"/>
          <w:lang w:eastAsia="en-GB"/>
        </w:rPr>
        <w:t>Percentage of men and women who received bonus pay</w:t>
      </w:r>
      <w:bookmarkEnd w:id="0"/>
    </w:p>
    <w:p w14:paraId="548C2E1C" w14:textId="633693DF" w:rsidR="00702E02" w:rsidRDefault="00702E02" w:rsidP="00E60204">
      <w:pPr>
        <w:shd w:val="clear" w:color="auto" w:fill="FFFFFF"/>
        <w:spacing w:after="150" w:line="240" w:lineRule="auto"/>
        <w:rPr>
          <w:rFonts w:ascii="Arial" w:eastAsia="Times New Roman" w:hAnsi="Arial" w:cs="Arial"/>
          <w:color w:val="222222"/>
          <w:lang w:eastAsia="en-GB"/>
        </w:rPr>
      </w:pPr>
      <w:r>
        <w:rPr>
          <w:rFonts w:ascii="Arial" w:eastAsia="Times New Roman" w:hAnsi="Arial" w:cs="Arial"/>
          <w:color w:val="222222"/>
          <w:lang w:eastAsia="en-GB"/>
        </w:rPr>
        <w:t xml:space="preserve">5. </w:t>
      </w:r>
      <w:r w:rsidRPr="00702E02">
        <w:rPr>
          <w:rFonts w:ascii="Arial" w:eastAsia="Times New Roman" w:hAnsi="Arial" w:cs="Arial"/>
          <w:color w:val="222222"/>
          <w:lang w:eastAsia="en-GB"/>
        </w:rPr>
        <w:t>Mean and median gender pay gap using bonus pay</w:t>
      </w:r>
    </w:p>
    <w:p w14:paraId="575B61CB" w14:textId="77777777" w:rsidR="00702E02" w:rsidRPr="003168B8" w:rsidRDefault="00702E02" w:rsidP="00E60204">
      <w:pPr>
        <w:shd w:val="clear" w:color="auto" w:fill="FFFFFF"/>
        <w:spacing w:after="150" w:line="240" w:lineRule="auto"/>
        <w:rPr>
          <w:rFonts w:ascii="Arial" w:eastAsia="Times New Roman" w:hAnsi="Arial" w:cs="Arial"/>
          <w:color w:val="222222"/>
          <w:lang w:eastAsia="en-GB"/>
        </w:rPr>
      </w:pPr>
    </w:p>
    <w:p w14:paraId="45BA7F4C" w14:textId="4C037046" w:rsidR="0018448A" w:rsidRPr="003168B8" w:rsidRDefault="0018448A" w:rsidP="00E60204">
      <w:pPr>
        <w:shd w:val="clear" w:color="auto" w:fill="FFFFFF"/>
        <w:spacing w:after="150" w:line="240" w:lineRule="auto"/>
        <w:rPr>
          <w:rFonts w:ascii="Arial" w:eastAsia="Times New Roman" w:hAnsi="Arial" w:cs="Arial"/>
          <w:color w:val="222222"/>
          <w:lang w:eastAsia="en-GB"/>
        </w:rPr>
      </w:pPr>
      <w:r w:rsidRPr="003168B8">
        <w:rPr>
          <w:rFonts w:ascii="Arial" w:eastAsia="Times New Roman" w:hAnsi="Arial" w:cs="Arial"/>
          <w:color w:val="222222"/>
          <w:lang w:eastAsia="en-GB"/>
        </w:rPr>
        <w:t xml:space="preserve">Gender Pay Gap Reports must be published within </w:t>
      </w:r>
      <w:r w:rsidR="00702E02">
        <w:rPr>
          <w:rFonts w:ascii="Arial" w:eastAsia="Times New Roman" w:hAnsi="Arial" w:cs="Arial"/>
          <w:color w:val="222222"/>
          <w:lang w:eastAsia="en-GB"/>
        </w:rPr>
        <w:t xml:space="preserve">a </w:t>
      </w:r>
      <w:r w:rsidRPr="003168B8">
        <w:rPr>
          <w:rFonts w:ascii="Arial" w:eastAsia="Times New Roman" w:hAnsi="Arial" w:cs="Arial"/>
          <w:color w:val="222222"/>
          <w:lang w:eastAsia="en-GB"/>
        </w:rPr>
        <w:t>year</w:t>
      </w:r>
      <w:r w:rsidR="00702E02">
        <w:rPr>
          <w:rFonts w:ascii="Arial" w:eastAsia="Times New Roman" w:hAnsi="Arial" w:cs="Arial"/>
          <w:color w:val="222222"/>
          <w:lang w:eastAsia="en-GB"/>
        </w:rPr>
        <w:t xml:space="preserve"> of the snapshot date</w:t>
      </w:r>
      <w:r w:rsidRPr="003168B8">
        <w:rPr>
          <w:rFonts w:ascii="Arial" w:eastAsia="Times New Roman" w:hAnsi="Arial" w:cs="Arial"/>
          <w:color w:val="222222"/>
          <w:lang w:eastAsia="en-GB"/>
        </w:rPr>
        <w:t xml:space="preserve">.  </w:t>
      </w:r>
    </w:p>
    <w:p w14:paraId="1EB26F10" w14:textId="77777777" w:rsidR="00E60204" w:rsidRPr="003168B8" w:rsidRDefault="00E60204" w:rsidP="00E60204">
      <w:pPr>
        <w:shd w:val="clear" w:color="auto" w:fill="FFFFFF"/>
        <w:spacing w:after="150" w:line="240" w:lineRule="auto"/>
        <w:rPr>
          <w:rFonts w:ascii="Arial" w:eastAsia="Times New Roman" w:hAnsi="Arial" w:cs="Arial"/>
          <w:color w:val="222222"/>
          <w:lang w:eastAsia="en-GB"/>
        </w:rPr>
      </w:pPr>
    </w:p>
    <w:p w14:paraId="3E5B743B" w14:textId="77777777" w:rsidR="00E60204" w:rsidRPr="003168B8" w:rsidRDefault="00E60204" w:rsidP="00E60204">
      <w:pPr>
        <w:shd w:val="clear" w:color="auto" w:fill="FFFFFF"/>
        <w:spacing w:after="150" w:line="240" w:lineRule="auto"/>
        <w:rPr>
          <w:rFonts w:ascii="Arial" w:eastAsia="Times New Roman" w:hAnsi="Arial" w:cs="Arial"/>
          <w:b/>
          <w:color w:val="222222"/>
          <w:lang w:eastAsia="en-GB"/>
        </w:rPr>
      </w:pPr>
      <w:r w:rsidRPr="003168B8">
        <w:rPr>
          <w:rFonts w:ascii="Arial" w:eastAsia="Times New Roman" w:hAnsi="Arial" w:cs="Arial"/>
          <w:b/>
          <w:color w:val="222222"/>
          <w:lang w:eastAsia="en-GB"/>
        </w:rPr>
        <w:t>What is the mean and median gender pay gap?</w:t>
      </w:r>
    </w:p>
    <w:p w14:paraId="5586D6D8" w14:textId="77777777" w:rsidR="00E60204" w:rsidRPr="003168B8" w:rsidRDefault="00E60204" w:rsidP="00E60204">
      <w:pPr>
        <w:shd w:val="clear" w:color="auto" w:fill="FFFFFF"/>
        <w:spacing w:after="150" w:line="240" w:lineRule="auto"/>
        <w:rPr>
          <w:rFonts w:ascii="Arial" w:eastAsia="Times New Roman" w:hAnsi="Arial" w:cs="Arial"/>
          <w:b/>
          <w:color w:val="222222"/>
          <w:lang w:eastAsia="en-GB"/>
        </w:rPr>
      </w:pPr>
      <w:r w:rsidRPr="003168B8">
        <w:rPr>
          <w:rFonts w:ascii="Arial" w:eastAsia="Times New Roman" w:hAnsi="Arial" w:cs="Arial"/>
          <w:color w:val="222222"/>
          <w:lang w:eastAsia="en-GB"/>
        </w:rPr>
        <w:t>The gender pay gap in an organisation is the difference in pay levels between male and female employees, irrespective of the position held, or type of contract of employment, and therefore includes workers on bank contracts</w:t>
      </w:r>
      <w:r w:rsidR="006627AC" w:rsidRPr="003168B8">
        <w:rPr>
          <w:rFonts w:ascii="Arial" w:eastAsia="Times New Roman" w:hAnsi="Arial" w:cs="Arial"/>
          <w:color w:val="222222"/>
          <w:lang w:eastAsia="en-GB"/>
        </w:rPr>
        <w:t xml:space="preserve">. </w:t>
      </w:r>
      <w:r w:rsidR="006627AC" w:rsidRPr="003168B8">
        <w:rPr>
          <w:rFonts w:ascii="Arial" w:eastAsia="Times New Roman" w:hAnsi="Arial" w:cs="Arial"/>
          <w:b/>
          <w:color w:val="222222"/>
          <w:lang w:eastAsia="en-GB"/>
        </w:rPr>
        <w:t xml:space="preserve">This is </w:t>
      </w:r>
      <w:r w:rsidR="006627AC" w:rsidRPr="003168B8">
        <w:rPr>
          <w:rFonts w:ascii="Arial" w:eastAsia="Times New Roman" w:hAnsi="Arial" w:cs="Arial"/>
          <w:b/>
          <w:color w:val="222222"/>
          <w:u w:val="single"/>
          <w:lang w:eastAsia="en-GB"/>
        </w:rPr>
        <w:t>not</w:t>
      </w:r>
      <w:r w:rsidR="006627AC" w:rsidRPr="003168B8">
        <w:rPr>
          <w:rFonts w:ascii="Arial" w:eastAsia="Times New Roman" w:hAnsi="Arial" w:cs="Arial"/>
          <w:b/>
          <w:color w:val="222222"/>
          <w:lang w:eastAsia="en-GB"/>
        </w:rPr>
        <w:t xml:space="preserve"> the same as equal pay </w:t>
      </w:r>
      <w:r w:rsidRPr="003168B8">
        <w:rPr>
          <w:rFonts w:ascii="Arial" w:eastAsia="Times New Roman" w:hAnsi="Arial" w:cs="Arial"/>
          <w:b/>
          <w:color w:val="222222"/>
          <w:lang w:eastAsia="en-GB"/>
        </w:rPr>
        <w:t>where companies are</w:t>
      </w:r>
      <w:r w:rsidR="00A25FB8" w:rsidRPr="003168B8">
        <w:rPr>
          <w:rFonts w:ascii="Arial" w:eastAsia="Times New Roman" w:hAnsi="Arial" w:cs="Arial"/>
          <w:b/>
          <w:color w:val="222222"/>
          <w:lang w:eastAsia="en-GB"/>
        </w:rPr>
        <w:t xml:space="preserve"> legally</w:t>
      </w:r>
      <w:r w:rsidRPr="003168B8">
        <w:rPr>
          <w:rFonts w:ascii="Arial" w:eastAsia="Times New Roman" w:hAnsi="Arial" w:cs="Arial"/>
          <w:b/>
          <w:color w:val="222222"/>
          <w:lang w:eastAsia="en-GB"/>
        </w:rPr>
        <w:t xml:space="preserve"> required</w:t>
      </w:r>
      <w:r w:rsidR="00A25FB8" w:rsidRPr="003168B8">
        <w:rPr>
          <w:rFonts w:ascii="Arial" w:eastAsia="Times New Roman" w:hAnsi="Arial" w:cs="Arial"/>
          <w:b/>
          <w:color w:val="222222"/>
          <w:lang w:eastAsia="en-GB"/>
        </w:rPr>
        <w:t xml:space="preserve"> </w:t>
      </w:r>
      <w:r w:rsidRPr="003168B8">
        <w:rPr>
          <w:rFonts w:ascii="Arial" w:eastAsia="Times New Roman" w:hAnsi="Arial" w:cs="Arial"/>
          <w:b/>
          <w:color w:val="222222"/>
          <w:lang w:eastAsia="en-GB"/>
        </w:rPr>
        <w:t>to ensure that men and women are paid the same for doing the same or similar roles. </w:t>
      </w:r>
    </w:p>
    <w:p w14:paraId="30ED0D63" w14:textId="77777777" w:rsidR="006627AC" w:rsidRPr="003168B8" w:rsidRDefault="00A25FB8" w:rsidP="006627AC">
      <w:pPr>
        <w:shd w:val="clear" w:color="auto" w:fill="FFFFFF"/>
        <w:spacing w:after="150" w:line="240" w:lineRule="auto"/>
        <w:rPr>
          <w:rFonts w:ascii="Arial" w:hAnsi="Arial" w:cs="Arial"/>
          <w:color w:val="121212"/>
        </w:rPr>
      </w:pPr>
      <w:r w:rsidRPr="003168B8">
        <w:rPr>
          <w:rFonts w:ascii="Arial" w:hAnsi="Arial" w:cs="Arial"/>
          <w:color w:val="121212"/>
        </w:rPr>
        <w:t xml:space="preserve">The </w:t>
      </w:r>
      <w:r w:rsidRPr="003168B8">
        <w:rPr>
          <w:rFonts w:ascii="Arial" w:hAnsi="Arial" w:cs="Arial"/>
          <w:b/>
          <w:color w:val="121212"/>
        </w:rPr>
        <w:t>mean</w:t>
      </w:r>
      <w:r w:rsidRPr="003168B8">
        <w:rPr>
          <w:rFonts w:ascii="Arial" w:hAnsi="Arial" w:cs="Arial"/>
          <w:color w:val="121212"/>
        </w:rPr>
        <w:t xml:space="preserve"> is calculated by adding up all of the</w:t>
      </w:r>
      <w:r w:rsidR="00BF6C31" w:rsidRPr="003168B8">
        <w:rPr>
          <w:rFonts w:ascii="Arial" w:hAnsi="Arial" w:cs="Arial"/>
          <w:color w:val="121212"/>
        </w:rPr>
        <w:t xml:space="preserve"> wages of employees in an organisation</w:t>
      </w:r>
      <w:r w:rsidRPr="003168B8">
        <w:rPr>
          <w:rFonts w:ascii="Arial" w:hAnsi="Arial" w:cs="Arial"/>
          <w:color w:val="121212"/>
        </w:rPr>
        <w:t xml:space="preserve"> and dividing that fig</w:t>
      </w:r>
      <w:r w:rsidR="006627AC" w:rsidRPr="003168B8">
        <w:rPr>
          <w:rFonts w:ascii="Arial" w:hAnsi="Arial" w:cs="Arial"/>
          <w:color w:val="121212"/>
        </w:rPr>
        <w:t xml:space="preserve">ure by the number of employees. </w:t>
      </w:r>
      <w:r w:rsidR="006627AC" w:rsidRPr="003168B8">
        <w:rPr>
          <w:rFonts w:ascii="Arial" w:eastAsia="Times New Roman" w:hAnsi="Arial" w:cs="Arial"/>
          <w:color w:val="222222"/>
          <w:lang w:eastAsia="en-GB"/>
        </w:rPr>
        <w:t xml:space="preserve">The mean (or average) gender pay gap shows the difference in hourly pay of male pay </w:t>
      </w:r>
      <w:r w:rsidR="006627AC" w:rsidRPr="003168B8">
        <w:rPr>
          <w:rFonts w:ascii="Arial" w:eastAsia="Times New Roman" w:hAnsi="Arial" w:cs="Arial"/>
          <w:color w:val="222222"/>
          <w:u w:val="single"/>
          <w:lang w:eastAsia="en-GB"/>
        </w:rPr>
        <w:t>over</w:t>
      </w:r>
      <w:r w:rsidR="006627AC" w:rsidRPr="003168B8">
        <w:rPr>
          <w:rFonts w:ascii="Arial" w:eastAsia="Times New Roman" w:hAnsi="Arial" w:cs="Arial"/>
          <w:color w:val="222222"/>
          <w:lang w:eastAsia="en-GB"/>
        </w:rPr>
        <w:t xml:space="preserve"> female pay as either a positive or a negative figure. </w:t>
      </w:r>
    </w:p>
    <w:p w14:paraId="11275E8B" w14:textId="77777777" w:rsidR="006627AC" w:rsidRPr="003168B8" w:rsidRDefault="00A25FB8" w:rsidP="006627AC">
      <w:pPr>
        <w:shd w:val="clear" w:color="auto" w:fill="FFFFFF"/>
        <w:spacing w:after="150" w:line="240" w:lineRule="auto"/>
        <w:rPr>
          <w:rFonts w:ascii="Arial" w:eastAsia="Times New Roman" w:hAnsi="Arial" w:cs="Arial"/>
          <w:color w:val="222222"/>
          <w:lang w:eastAsia="en-GB"/>
        </w:rPr>
      </w:pPr>
      <w:r w:rsidRPr="003168B8">
        <w:rPr>
          <w:rFonts w:ascii="Arial" w:hAnsi="Arial" w:cs="Arial"/>
          <w:color w:val="121212"/>
        </w:rPr>
        <w:t xml:space="preserve">The </w:t>
      </w:r>
      <w:r w:rsidRPr="003168B8">
        <w:rPr>
          <w:rFonts w:ascii="Arial" w:hAnsi="Arial" w:cs="Arial"/>
          <w:b/>
          <w:color w:val="121212"/>
        </w:rPr>
        <w:t>median</w:t>
      </w:r>
      <w:r w:rsidRPr="003168B8">
        <w:rPr>
          <w:rFonts w:ascii="Arial" w:hAnsi="Arial" w:cs="Arial"/>
          <w:color w:val="121212"/>
        </w:rPr>
        <w:t xml:space="preserve"> is the number that falls in the middle of a range when everyone’s wages are lined up from smallest to largest and is more rep</w:t>
      </w:r>
      <w:r w:rsidR="00BF6C31" w:rsidRPr="003168B8">
        <w:rPr>
          <w:rFonts w:ascii="Arial" w:hAnsi="Arial" w:cs="Arial"/>
          <w:color w:val="121212"/>
        </w:rPr>
        <w:t xml:space="preserve">resentative when there is significant </w:t>
      </w:r>
      <w:r w:rsidRPr="003168B8">
        <w:rPr>
          <w:rFonts w:ascii="Arial" w:hAnsi="Arial" w:cs="Arial"/>
          <w:color w:val="121212"/>
        </w:rPr>
        <w:t>variation in pay.</w:t>
      </w:r>
      <w:r w:rsidR="006627AC" w:rsidRPr="003168B8">
        <w:rPr>
          <w:rFonts w:ascii="Arial" w:eastAsia="Times New Roman" w:hAnsi="Arial" w:cs="Arial"/>
          <w:color w:val="222222"/>
          <w:lang w:eastAsia="en-GB"/>
        </w:rPr>
        <w:t xml:space="preserve"> The median </w:t>
      </w:r>
      <w:r w:rsidR="00BF6C31" w:rsidRPr="003168B8">
        <w:rPr>
          <w:rFonts w:ascii="Arial" w:eastAsia="Times New Roman" w:hAnsi="Arial" w:cs="Arial"/>
          <w:color w:val="222222"/>
          <w:lang w:eastAsia="en-GB"/>
        </w:rPr>
        <w:t>(</w:t>
      </w:r>
      <w:r w:rsidR="006627AC" w:rsidRPr="003168B8">
        <w:rPr>
          <w:rFonts w:ascii="Arial" w:eastAsia="Times New Roman" w:hAnsi="Arial" w:cs="Arial"/>
          <w:color w:val="222222"/>
          <w:lang w:eastAsia="en-GB"/>
        </w:rPr>
        <w:t>or middle</w:t>
      </w:r>
      <w:r w:rsidR="00BF6C31" w:rsidRPr="003168B8">
        <w:rPr>
          <w:rFonts w:ascii="Arial" w:eastAsia="Times New Roman" w:hAnsi="Arial" w:cs="Arial"/>
          <w:color w:val="222222"/>
          <w:lang w:eastAsia="en-GB"/>
        </w:rPr>
        <w:t>)</w:t>
      </w:r>
      <w:r w:rsidR="006627AC" w:rsidRPr="003168B8">
        <w:rPr>
          <w:rFonts w:ascii="Arial" w:eastAsia="Times New Roman" w:hAnsi="Arial" w:cs="Arial"/>
          <w:color w:val="222222"/>
          <w:lang w:eastAsia="en-GB"/>
        </w:rPr>
        <w:t xml:space="preserve"> gender pay gap shows the difference of hourly male pay </w:t>
      </w:r>
      <w:r w:rsidR="006627AC" w:rsidRPr="003168B8">
        <w:rPr>
          <w:rFonts w:ascii="Arial" w:eastAsia="Times New Roman" w:hAnsi="Arial" w:cs="Arial"/>
          <w:color w:val="222222"/>
          <w:u w:val="single"/>
          <w:lang w:eastAsia="en-GB"/>
        </w:rPr>
        <w:t>over</w:t>
      </w:r>
      <w:r w:rsidR="006627AC" w:rsidRPr="003168B8">
        <w:rPr>
          <w:rFonts w:ascii="Arial" w:eastAsia="Times New Roman" w:hAnsi="Arial" w:cs="Arial"/>
          <w:color w:val="222222"/>
          <w:lang w:eastAsia="en-GB"/>
        </w:rPr>
        <w:t xml:space="preserve"> female pay as either a positive or negative figure.  </w:t>
      </w:r>
    </w:p>
    <w:p w14:paraId="2E62AA3A" w14:textId="77777777" w:rsidR="006627AC" w:rsidRPr="003168B8" w:rsidRDefault="006627AC" w:rsidP="006627AC">
      <w:pPr>
        <w:shd w:val="clear" w:color="auto" w:fill="FFFFFF"/>
        <w:spacing w:after="150" w:line="240" w:lineRule="auto"/>
        <w:rPr>
          <w:rFonts w:ascii="Arial" w:hAnsi="Arial" w:cs="Arial"/>
          <w:color w:val="121212"/>
        </w:rPr>
      </w:pPr>
      <w:r w:rsidRPr="003168B8">
        <w:rPr>
          <w:rFonts w:ascii="Arial" w:hAnsi="Arial" w:cs="Arial"/>
          <w:color w:val="121212"/>
        </w:rPr>
        <w:t xml:space="preserve">When talking about the gender pay gap people tend to talk more about the median figure rather than the mean which can be skewed by a small number of highly paid individuals. </w:t>
      </w:r>
    </w:p>
    <w:p w14:paraId="1A294199" w14:textId="77777777" w:rsidR="003168B8" w:rsidRPr="003168B8" w:rsidRDefault="003168B8" w:rsidP="00E60204">
      <w:pPr>
        <w:shd w:val="clear" w:color="auto" w:fill="FFFFFF"/>
        <w:spacing w:after="150" w:line="240" w:lineRule="auto"/>
        <w:rPr>
          <w:rFonts w:ascii="Arial" w:eastAsia="Times New Roman" w:hAnsi="Arial" w:cs="Arial"/>
          <w:b/>
          <w:color w:val="222222"/>
          <w:u w:val="single"/>
          <w:lang w:eastAsia="en-GB"/>
        </w:rPr>
      </w:pPr>
    </w:p>
    <w:p w14:paraId="27EE648C" w14:textId="77777777" w:rsidR="00CC7DE1" w:rsidRDefault="00CC7DE1">
      <w:pPr>
        <w:rPr>
          <w:rFonts w:ascii="Arial" w:eastAsia="Times New Roman" w:hAnsi="Arial" w:cs="Arial"/>
          <w:b/>
          <w:color w:val="222222"/>
          <w:u w:val="single"/>
          <w:lang w:eastAsia="en-GB"/>
        </w:rPr>
      </w:pPr>
      <w:r>
        <w:rPr>
          <w:rFonts w:ascii="Arial" w:eastAsia="Times New Roman" w:hAnsi="Arial" w:cs="Arial"/>
          <w:b/>
          <w:color w:val="222222"/>
          <w:u w:val="single"/>
          <w:lang w:eastAsia="en-GB"/>
        </w:rPr>
        <w:br w:type="page"/>
      </w:r>
    </w:p>
    <w:p w14:paraId="3BC64BD8" w14:textId="144B4DA5" w:rsidR="0018448A" w:rsidRPr="003168B8" w:rsidRDefault="0018448A" w:rsidP="00E60204">
      <w:pPr>
        <w:shd w:val="clear" w:color="auto" w:fill="FFFFFF"/>
        <w:spacing w:after="150" w:line="240" w:lineRule="auto"/>
        <w:rPr>
          <w:rFonts w:ascii="Arial" w:eastAsia="Times New Roman" w:hAnsi="Arial" w:cs="Arial"/>
          <w:b/>
          <w:color w:val="222222"/>
          <w:u w:val="single"/>
          <w:lang w:eastAsia="en-GB"/>
        </w:rPr>
      </w:pPr>
      <w:r w:rsidRPr="003168B8">
        <w:rPr>
          <w:rFonts w:ascii="Arial" w:eastAsia="Times New Roman" w:hAnsi="Arial" w:cs="Arial"/>
          <w:b/>
          <w:color w:val="222222"/>
          <w:u w:val="single"/>
          <w:lang w:eastAsia="en-GB"/>
        </w:rPr>
        <w:lastRenderedPageBreak/>
        <w:t>Findings</w:t>
      </w:r>
    </w:p>
    <w:p w14:paraId="41587F53" w14:textId="1743BFB2" w:rsidR="0018448A" w:rsidRPr="003168B8" w:rsidRDefault="0018448A" w:rsidP="00E60204">
      <w:pPr>
        <w:shd w:val="clear" w:color="auto" w:fill="FFFFFF"/>
        <w:spacing w:after="150" w:line="240" w:lineRule="auto"/>
        <w:rPr>
          <w:rFonts w:ascii="Arial" w:eastAsia="Times New Roman" w:hAnsi="Arial" w:cs="Arial"/>
          <w:b/>
          <w:color w:val="222222"/>
          <w:lang w:eastAsia="en-GB"/>
        </w:rPr>
      </w:pPr>
      <w:r w:rsidRPr="003168B8">
        <w:rPr>
          <w:rFonts w:ascii="Arial" w:eastAsia="Times New Roman" w:hAnsi="Arial" w:cs="Arial"/>
          <w:b/>
          <w:color w:val="222222"/>
          <w:lang w:eastAsia="en-GB"/>
        </w:rPr>
        <w:t>Dorothy House Mean Gender Pay Gap</w:t>
      </w:r>
      <w:r w:rsidR="00E22C3B" w:rsidRPr="003168B8">
        <w:rPr>
          <w:rFonts w:ascii="Arial" w:eastAsia="Times New Roman" w:hAnsi="Arial" w:cs="Arial"/>
          <w:b/>
          <w:color w:val="222222"/>
          <w:lang w:eastAsia="en-GB"/>
        </w:rPr>
        <w:t xml:space="preserve">, </w:t>
      </w:r>
      <w:r w:rsidRPr="003168B8">
        <w:rPr>
          <w:rFonts w:ascii="Arial" w:eastAsia="Times New Roman" w:hAnsi="Arial" w:cs="Arial"/>
          <w:b/>
          <w:color w:val="222222"/>
          <w:lang w:eastAsia="en-GB"/>
        </w:rPr>
        <w:t>5 April 20</w:t>
      </w:r>
      <w:r w:rsidR="00153DB2">
        <w:rPr>
          <w:rFonts w:ascii="Arial" w:eastAsia="Times New Roman" w:hAnsi="Arial" w:cs="Arial"/>
          <w:b/>
          <w:color w:val="222222"/>
          <w:lang w:eastAsia="en-GB"/>
        </w:rPr>
        <w:t>2</w:t>
      </w:r>
      <w:r w:rsidR="00702E02">
        <w:rPr>
          <w:rFonts w:ascii="Arial" w:eastAsia="Times New Roman" w:hAnsi="Arial" w:cs="Arial"/>
          <w:b/>
          <w:color w:val="222222"/>
          <w:lang w:eastAsia="en-GB"/>
        </w:rPr>
        <w:t>3</w:t>
      </w:r>
      <w:r w:rsidRPr="003168B8">
        <w:rPr>
          <w:rFonts w:ascii="Arial" w:eastAsia="Times New Roman" w:hAnsi="Arial" w:cs="Arial"/>
          <w:b/>
          <w:color w:val="222222"/>
          <w:lang w:eastAsia="en-GB"/>
        </w:rPr>
        <w:t xml:space="preserve">: </w:t>
      </w:r>
      <w:r w:rsidR="00702E02">
        <w:rPr>
          <w:rFonts w:ascii="Arial" w:eastAsia="Times New Roman" w:hAnsi="Arial" w:cs="Arial"/>
          <w:b/>
          <w:color w:val="222222"/>
          <w:lang w:eastAsia="en-GB"/>
        </w:rPr>
        <w:t>-</w:t>
      </w:r>
      <w:r w:rsidR="00153DB2">
        <w:rPr>
          <w:rFonts w:ascii="Arial" w:eastAsia="Times New Roman" w:hAnsi="Arial" w:cs="Arial"/>
          <w:b/>
          <w:color w:val="222222"/>
          <w:lang w:eastAsia="en-GB"/>
        </w:rPr>
        <w:t>0.</w:t>
      </w:r>
      <w:r w:rsidR="00B0770E">
        <w:rPr>
          <w:rFonts w:ascii="Arial" w:eastAsia="Times New Roman" w:hAnsi="Arial" w:cs="Arial"/>
          <w:b/>
          <w:color w:val="222222"/>
          <w:lang w:eastAsia="en-GB"/>
        </w:rPr>
        <w:t>7</w:t>
      </w:r>
      <w:r w:rsidRPr="003168B8">
        <w:rPr>
          <w:rFonts w:ascii="Arial" w:eastAsia="Times New Roman" w:hAnsi="Arial" w:cs="Arial"/>
          <w:b/>
          <w:color w:val="222222"/>
          <w:lang w:eastAsia="en-GB"/>
        </w:rPr>
        <w:t>%</w:t>
      </w:r>
    </w:p>
    <w:p w14:paraId="7B197588" w14:textId="1A91D0B8" w:rsidR="0018448A" w:rsidRPr="003168B8" w:rsidRDefault="0018448A" w:rsidP="00E60204">
      <w:pPr>
        <w:shd w:val="clear" w:color="auto" w:fill="FFFFFF"/>
        <w:spacing w:after="150" w:line="240" w:lineRule="auto"/>
        <w:rPr>
          <w:rFonts w:ascii="Arial" w:eastAsia="Times New Roman" w:hAnsi="Arial" w:cs="Arial"/>
          <w:color w:val="222222"/>
          <w:lang w:eastAsia="en-GB"/>
        </w:rPr>
      </w:pPr>
      <w:r w:rsidRPr="003168B8">
        <w:rPr>
          <w:rFonts w:ascii="Arial" w:eastAsia="Times New Roman" w:hAnsi="Arial" w:cs="Arial"/>
          <w:color w:val="222222"/>
          <w:lang w:eastAsia="en-GB"/>
        </w:rPr>
        <w:t>This means that</w:t>
      </w:r>
      <w:r w:rsidR="00E22C3B" w:rsidRPr="003168B8">
        <w:rPr>
          <w:rFonts w:ascii="Arial" w:eastAsia="Times New Roman" w:hAnsi="Arial" w:cs="Arial"/>
          <w:color w:val="222222"/>
          <w:lang w:eastAsia="en-GB"/>
        </w:rPr>
        <w:t xml:space="preserve"> based</w:t>
      </w:r>
      <w:r w:rsidRPr="003168B8">
        <w:rPr>
          <w:rFonts w:ascii="Arial" w:eastAsia="Times New Roman" w:hAnsi="Arial" w:cs="Arial"/>
          <w:color w:val="222222"/>
          <w:lang w:eastAsia="en-GB"/>
        </w:rPr>
        <w:t xml:space="preserve"> on an hourly rate, we pay women an average of </w:t>
      </w:r>
      <w:r w:rsidR="00153DB2">
        <w:rPr>
          <w:rFonts w:ascii="Arial" w:eastAsia="Times New Roman" w:hAnsi="Arial" w:cs="Arial"/>
          <w:color w:val="222222"/>
          <w:lang w:eastAsia="en-GB"/>
        </w:rPr>
        <w:t>0.</w:t>
      </w:r>
      <w:r w:rsidR="00702E02">
        <w:rPr>
          <w:rFonts w:ascii="Arial" w:eastAsia="Times New Roman" w:hAnsi="Arial" w:cs="Arial"/>
          <w:color w:val="222222"/>
          <w:lang w:eastAsia="en-GB"/>
        </w:rPr>
        <w:t>7</w:t>
      </w:r>
      <w:r w:rsidRPr="003168B8">
        <w:rPr>
          <w:rFonts w:ascii="Arial" w:eastAsia="Times New Roman" w:hAnsi="Arial" w:cs="Arial"/>
          <w:color w:val="222222"/>
          <w:lang w:eastAsia="en-GB"/>
        </w:rPr>
        <w:t xml:space="preserve">% </w:t>
      </w:r>
      <w:r w:rsidR="00702E02">
        <w:rPr>
          <w:rFonts w:ascii="Arial" w:eastAsia="Times New Roman" w:hAnsi="Arial" w:cs="Arial"/>
          <w:color w:val="222222"/>
          <w:lang w:eastAsia="en-GB"/>
        </w:rPr>
        <w:t>more</w:t>
      </w:r>
      <w:r w:rsidR="003240D1" w:rsidRPr="003168B8">
        <w:rPr>
          <w:rFonts w:ascii="Arial" w:eastAsia="Times New Roman" w:hAnsi="Arial" w:cs="Arial"/>
          <w:color w:val="222222"/>
          <w:lang w:eastAsia="en-GB"/>
        </w:rPr>
        <w:t xml:space="preserve"> </w:t>
      </w:r>
      <w:r w:rsidRPr="003168B8">
        <w:rPr>
          <w:rFonts w:ascii="Arial" w:eastAsia="Times New Roman" w:hAnsi="Arial" w:cs="Arial"/>
          <w:color w:val="222222"/>
          <w:lang w:eastAsia="en-GB"/>
        </w:rPr>
        <w:t>than men. In 20</w:t>
      </w:r>
      <w:r w:rsidR="003240D1">
        <w:rPr>
          <w:rFonts w:ascii="Arial" w:eastAsia="Times New Roman" w:hAnsi="Arial" w:cs="Arial"/>
          <w:color w:val="222222"/>
          <w:lang w:eastAsia="en-GB"/>
        </w:rPr>
        <w:t>2</w:t>
      </w:r>
      <w:r w:rsidR="00702E02">
        <w:rPr>
          <w:rFonts w:ascii="Arial" w:eastAsia="Times New Roman" w:hAnsi="Arial" w:cs="Arial"/>
          <w:color w:val="222222"/>
          <w:lang w:eastAsia="en-GB"/>
        </w:rPr>
        <w:t>2</w:t>
      </w:r>
      <w:r w:rsidRPr="003168B8">
        <w:rPr>
          <w:rFonts w:ascii="Arial" w:eastAsia="Times New Roman" w:hAnsi="Arial" w:cs="Arial"/>
          <w:color w:val="222222"/>
          <w:lang w:eastAsia="en-GB"/>
        </w:rPr>
        <w:t xml:space="preserve">, this figure was </w:t>
      </w:r>
      <w:r w:rsidR="00702E02">
        <w:rPr>
          <w:rFonts w:ascii="Arial" w:eastAsia="Times New Roman" w:hAnsi="Arial" w:cs="Arial"/>
          <w:color w:val="222222"/>
          <w:lang w:eastAsia="en-GB"/>
        </w:rPr>
        <w:t>+0</w:t>
      </w:r>
      <w:r w:rsidR="003240D1">
        <w:rPr>
          <w:rFonts w:ascii="Arial" w:eastAsia="Times New Roman" w:hAnsi="Arial" w:cs="Arial"/>
          <w:color w:val="222222"/>
          <w:lang w:eastAsia="en-GB"/>
        </w:rPr>
        <w:t>.6</w:t>
      </w:r>
      <w:r w:rsidRPr="003168B8">
        <w:rPr>
          <w:rFonts w:ascii="Arial" w:eastAsia="Times New Roman" w:hAnsi="Arial" w:cs="Arial"/>
          <w:color w:val="222222"/>
          <w:lang w:eastAsia="en-GB"/>
        </w:rPr>
        <w:t>%</w:t>
      </w:r>
      <w:r w:rsidR="00702E02">
        <w:rPr>
          <w:rFonts w:ascii="Arial" w:eastAsia="Times New Roman" w:hAnsi="Arial" w:cs="Arial"/>
          <w:color w:val="222222"/>
          <w:lang w:eastAsia="en-GB"/>
        </w:rPr>
        <w:t xml:space="preserve"> (i.e. men on average were paid fractionally </w:t>
      </w:r>
      <w:r w:rsidR="00B93BB2">
        <w:rPr>
          <w:rFonts w:ascii="Arial" w:eastAsia="Times New Roman" w:hAnsi="Arial" w:cs="Arial"/>
          <w:color w:val="222222"/>
          <w:lang w:eastAsia="en-GB"/>
        </w:rPr>
        <w:t xml:space="preserve">more </w:t>
      </w:r>
      <w:r w:rsidR="00702E02">
        <w:rPr>
          <w:rFonts w:ascii="Arial" w:eastAsia="Times New Roman" w:hAnsi="Arial" w:cs="Arial"/>
          <w:color w:val="222222"/>
          <w:lang w:eastAsia="en-GB"/>
        </w:rPr>
        <w:t>than women)</w:t>
      </w:r>
      <w:r w:rsidR="00E22C3B" w:rsidRPr="003168B8">
        <w:rPr>
          <w:rFonts w:ascii="Arial" w:eastAsia="Times New Roman" w:hAnsi="Arial" w:cs="Arial"/>
          <w:color w:val="222222"/>
          <w:lang w:eastAsia="en-GB"/>
        </w:rPr>
        <w:t xml:space="preserve">.  </w:t>
      </w:r>
    </w:p>
    <w:p w14:paraId="1ABECF34" w14:textId="77777777" w:rsidR="003168B8" w:rsidRDefault="003168B8" w:rsidP="00E22C3B">
      <w:pPr>
        <w:shd w:val="clear" w:color="auto" w:fill="FFFFFF"/>
        <w:spacing w:after="150" w:line="240" w:lineRule="auto"/>
        <w:rPr>
          <w:rFonts w:ascii="Arial" w:eastAsia="Times New Roman" w:hAnsi="Arial" w:cs="Arial"/>
          <w:color w:val="222222"/>
          <w:lang w:eastAsia="en-GB"/>
        </w:rPr>
      </w:pPr>
    </w:p>
    <w:p w14:paraId="251FCDD7" w14:textId="791B121D" w:rsidR="00E22C3B" w:rsidRPr="003168B8" w:rsidRDefault="00E22C3B" w:rsidP="00E22C3B">
      <w:pPr>
        <w:shd w:val="clear" w:color="auto" w:fill="FFFFFF"/>
        <w:spacing w:after="150" w:line="240" w:lineRule="auto"/>
        <w:rPr>
          <w:rFonts w:ascii="Arial" w:eastAsia="Times New Roman" w:hAnsi="Arial" w:cs="Arial"/>
          <w:b/>
          <w:color w:val="222222"/>
          <w:lang w:eastAsia="en-GB"/>
        </w:rPr>
      </w:pPr>
      <w:r w:rsidRPr="003168B8">
        <w:rPr>
          <w:rFonts w:ascii="Arial" w:eastAsia="Times New Roman" w:hAnsi="Arial" w:cs="Arial"/>
          <w:b/>
          <w:color w:val="222222"/>
          <w:lang w:eastAsia="en-GB"/>
        </w:rPr>
        <w:t>Dorothy House Median Gender Pay Gap, 5 April 20</w:t>
      </w:r>
      <w:r w:rsidR="00153DB2">
        <w:rPr>
          <w:rFonts w:ascii="Arial" w:eastAsia="Times New Roman" w:hAnsi="Arial" w:cs="Arial"/>
          <w:b/>
          <w:color w:val="222222"/>
          <w:lang w:eastAsia="en-GB"/>
        </w:rPr>
        <w:t>2</w:t>
      </w:r>
      <w:r w:rsidR="00702E02">
        <w:rPr>
          <w:rFonts w:ascii="Arial" w:eastAsia="Times New Roman" w:hAnsi="Arial" w:cs="Arial"/>
          <w:b/>
          <w:color w:val="222222"/>
          <w:lang w:eastAsia="en-GB"/>
        </w:rPr>
        <w:t>3</w:t>
      </w:r>
      <w:r w:rsidRPr="003168B8">
        <w:rPr>
          <w:rFonts w:ascii="Arial" w:eastAsia="Times New Roman" w:hAnsi="Arial" w:cs="Arial"/>
          <w:b/>
          <w:color w:val="222222"/>
          <w:lang w:eastAsia="en-GB"/>
        </w:rPr>
        <w:t>: -</w:t>
      </w:r>
      <w:r w:rsidR="003240D1">
        <w:rPr>
          <w:rFonts w:ascii="Arial" w:eastAsia="Times New Roman" w:hAnsi="Arial" w:cs="Arial"/>
          <w:b/>
          <w:color w:val="222222"/>
          <w:lang w:eastAsia="en-GB"/>
        </w:rPr>
        <w:t>1</w:t>
      </w:r>
      <w:r w:rsidR="00B0770E">
        <w:rPr>
          <w:rFonts w:ascii="Arial" w:eastAsia="Times New Roman" w:hAnsi="Arial" w:cs="Arial"/>
          <w:b/>
          <w:color w:val="222222"/>
          <w:lang w:eastAsia="en-GB"/>
        </w:rPr>
        <w:t>2</w:t>
      </w:r>
      <w:r w:rsidRPr="003168B8">
        <w:rPr>
          <w:rFonts w:ascii="Arial" w:eastAsia="Times New Roman" w:hAnsi="Arial" w:cs="Arial"/>
          <w:b/>
          <w:color w:val="222222"/>
          <w:lang w:eastAsia="en-GB"/>
        </w:rPr>
        <w:t>.</w:t>
      </w:r>
      <w:r w:rsidR="00B0770E">
        <w:rPr>
          <w:rFonts w:ascii="Arial" w:eastAsia="Times New Roman" w:hAnsi="Arial" w:cs="Arial"/>
          <w:b/>
          <w:color w:val="222222"/>
          <w:lang w:eastAsia="en-GB"/>
        </w:rPr>
        <w:t>6</w:t>
      </w:r>
      <w:r w:rsidRPr="003168B8">
        <w:rPr>
          <w:rFonts w:ascii="Arial" w:eastAsia="Times New Roman" w:hAnsi="Arial" w:cs="Arial"/>
          <w:b/>
          <w:color w:val="222222"/>
          <w:lang w:eastAsia="en-GB"/>
        </w:rPr>
        <w:t>%</w:t>
      </w:r>
    </w:p>
    <w:p w14:paraId="502883AD" w14:textId="758E68ED" w:rsidR="00E22C3B" w:rsidRPr="003168B8" w:rsidRDefault="00BF6C31" w:rsidP="00E22C3B">
      <w:pPr>
        <w:shd w:val="clear" w:color="auto" w:fill="FFFFFF"/>
        <w:spacing w:after="150" w:line="240" w:lineRule="auto"/>
        <w:rPr>
          <w:rFonts w:ascii="Arial" w:eastAsia="Times New Roman" w:hAnsi="Arial" w:cs="Arial"/>
          <w:color w:val="222222"/>
          <w:lang w:eastAsia="en-GB"/>
        </w:rPr>
      </w:pPr>
      <w:r w:rsidRPr="003168B8">
        <w:rPr>
          <w:rFonts w:ascii="Arial" w:eastAsia="Times New Roman" w:hAnsi="Arial" w:cs="Arial"/>
          <w:color w:val="222222"/>
          <w:lang w:eastAsia="en-GB"/>
        </w:rPr>
        <w:t>This means that</w:t>
      </w:r>
      <w:r w:rsidR="00E22C3B" w:rsidRPr="003168B8">
        <w:rPr>
          <w:rFonts w:ascii="Arial" w:eastAsia="Times New Roman" w:hAnsi="Arial" w:cs="Arial"/>
          <w:color w:val="222222"/>
          <w:lang w:eastAsia="en-GB"/>
        </w:rPr>
        <w:t xml:space="preserve"> based on an hourly rate, we pay women in the middle of the pay scales </w:t>
      </w:r>
      <w:r w:rsidR="003240D1">
        <w:rPr>
          <w:rFonts w:ascii="Arial" w:eastAsia="Times New Roman" w:hAnsi="Arial" w:cs="Arial"/>
          <w:color w:val="222222"/>
          <w:lang w:eastAsia="en-GB"/>
        </w:rPr>
        <w:t>1</w:t>
      </w:r>
      <w:r w:rsidR="004E054B">
        <w:rPr>
          <w:rFonts w:ascii="Arial" w:eastAsia="Times New Roman" w:hAnsi="Arial" w:cs="Arial"/>
          <w:color w:val="222222"/>
          <w:lang w:eastAsia="en-GB"/>
        </w:rPr>
        <w:t>2</w:t>
      </w:r>
      <w:r w:rsidR="003240D1">
        <w:rPr>
          <w:rFonts w:ascii="Arial" w:eastAsia="Times New Roman" w:hAnsi="Arial" w:cs="Arial"/>
          <w:color w:val="222222"/>
          <w:lang w:eastAsia="en-GB"/>
        </w:rPr>
        <w:t>.</w:t>
      </w:r>
      <w:r w:rsidR="004E054B">
        <w:rPr>
          <w:rFonts w:ascii="Arial" w:eastAsia="Times New Roman" w:hAnsi="Arial" w:cs="Arial"/>
          <w:color w:val="222222"/>
          <w:lang w:eastAsia="en-GB"/>
        </w:rPr>
        <w:t>6</w:t>
      </w:r>
      <w:r w:rsidR="00E22C3B" w:rsidRPr="003168B8">
        <w:rPr>
          <w:rFonts w:ascii="Arial" w:eastAsia="Times New Roman" w:hAnsi="Arial" w:cs="Arial"/>
          <w:color w:val="222222"/>
          <w:lang w:eastAsia="en-GB"/>
        </w:rPr>
        <w:t xml:space="preserve">% more than </w:t>
      </w:r>
      <w:r w:rsidRPr="003168B8">
        <w:rPr>
          <w:rFonts w:ascii="Arial" w:eastAsia="Times New Roman" w:hAnsi="Arial" w:cs="Arial"/>
          <w:color w:val="222222"/>
          <w:lang w:eastAsia="en-GB"/>
        </w:rPr>
        <w:t xml:space="preserve">men.  In April </w:t>
      </w:r>
      <w:r w:rsidR="003240D1" w:rsidRPr="003168B8">
        <w:rPr>
          <w:rFonts w:ascii="Arial" w:eastAsia="Times New Roman" w:hAnsi="Arial" w:cs="Arial"/>
          <w:color w:val="222222"/>
          <w:lang w:eastAsia="en-GB"/>
        </w:rPr>
        <w:t>20</w:t>
      </w:r>
      <w:r w:rsidR="003240D1">
        <w:rPr>
          <w:rFonts w:ascii="Arial" w:eastAsia="Times New Roman" w:hAnsi="Arial" w:cs="Arial"/>
          <w:color w:val="222222"/>
          <w:lang w:eastAsia="en-GB"/>
        </w:rPr>
        <w:t>2</w:t>
      </w:r>
      <w:r w:rsidR="00702E02">
        <w:rPr>
          <w:rFonts w:ascii="Arial" w:eastAsia="Times New Roman" w:hAnsi="Arial" w:cs="Arial"/>
          <w:color w:val="222222"/>
          <w:lang w:eastAsia="en-GB"/>
        </w:rPr>
        <w:t>2</w:t>
      </w:r>
      <w:r w:rsidRPr="003168B8">
        <w:rPr>
          <w:rFonts w:ascii="Arial" w:eastAsia="Times New Roman" w:hAnsi="Arial" w:cs="Arial"/>
          <w:color w:val="222222"/>
          <w:lang w:eastAsia="en-GB"/>
        </w:rPr>
        <w:t>, this pay gap</w:t>
      </w:r>
      <w:r w:rsidR="00E22C3B" w:rsidRPr="003168B8">
        <w:rPr>
          <w:rFonts w:ascii="Arial" w:eastAsia="Times New Roman" w:hAnsi="Arial" w:cs="Arial"/>
          <w:color w:val="222222"/>
          <w:lang w:eastAsia="en-GB"/>
        </w:rPr>
        <w:t xml:space="preserve"> was -</w:t>
      </w:r>
      <w:r w:rsidR="003240D1">
        <w:rPr>
          <w:rFonts w:ascii="Arial" w:eastAsia="Times New Roman" w:hAnsi="Arial" w:cs="Arial"/>
          <w:color w:val="222222"/>
          <w:lang w:eastAsia="en-GB"/>
        </w:rPr>
        <w:t>14</w:t>
      </w:r>
      <w:r w:rsidR="00E22C3B" w:rsidRPr="003168B8">
        <w:rPr>
          <w:rFonts w:ascii="Arial" w:eastAsia="Times New Roman" w:hAnsi="Arial" w:cs="Arial"/>
          <w:color w:val="222222"/>
          <w:lang w:eastAsia="en-GB"/>
        </w:rPr>
        <w:t>.</w:t>
      </w:r>
      <w:r w:rsidR="003240D1">
        <w:rPr>
          <w:rFonts w:ascii="Arial" w:eastAsia="Times New Roman" w:hAnsi="Arial" w:cs="Arial"/>
          <w:color w:val="222222"/>
          <w:lang w:eastAsia="en-GB"/>
        </w:rPr>
        <w:t>3</w:t>
      </w:r>
      <w:r w:rsidR="00E22C3B" w:rsidRPr="003168B8">
        <w:rPr>
          <w:rFonts w:ascii="Arial" w:eastAsia="Times New Roman" w:hAnsi="Arial" w:cs="Arial"/>
          <w:color w:val="222222"/>
          <w:lang w:eastAsia="en-GB"/>
        </w:rPr>
        <w:t>%</w:t>
      </w:r>
      <w:r w:rsidRPr="003168B8">
        <w:rPr>
          <w:rFonts w:ascii="Arial" w:eastAsia="Times New Roman" w:hAnsi="Arial" w:cs="Arial"/>
          <w:color w:val="222222"/>
          <w:lang w:eastAsia="en-GB"/>
        </w:rPr>
        <w:t>.</w:t>
      </w:r>
    </w:p>
    <w:p w14:paraId="501E2F7D" w14:textId="77777777" w:rsidR="00BF6C31" w:rsidRPr="003168B8" w:rsidRDefault="00BF6C31" w:rsidP="00E22C3B">
      <w:pPr>
        <w:shd w:val="clear" w:color="auto" w:fill="FFFFFF"/>
        <w:spacing w:after="150" w:line="240" w:lineRule="auto"/>
        <w:rPr>
          <w:rFonts w:ascii="Arial" w:eastAsia="Times New Roman" w:hAnsi="Arial" w:cs="Arial"/>
          <w:color w:val="222222"/>
          <w:lang w:eastAsia="en-GB"/>
        </w:rPr>
      </w:pPr>
    </w:p>
    <w:p w14:paraId="31109EA9" w14:textId="77777777" w:rsidR="00E22C3B" w:rsidRPr="003168B8" w:rsidRDefault="00E22C3B" w:rsidP="00E60204">
      <w:pPr>
        <w:shd w:val="clear" w:color="auto" w:fill="FFFFFF"/>
        <w:spacing w:after="150" w:line="240" w:lineRule="auto"/>
        <w:rPr>
          <w:rFonts w:ascii="Arial" w:eastAsia="Times New Roman" w:hAnsi="Arial" w:cs="Arial"/>
          <w:b/>
          <w:color w:val="222222"/>
          <w:lang w:eastAsia="en-GB"/>
        </w:rPr>
      </w:pPr>
      <w:r w:rsidRPr="003168B8">
        <w:rPr>
          <w:rFonts w:ascii="Arial" w:eastAsia="Times New Roman" w:hAnsi="Arial" w:cs="Arial"/>
          <w:b/>
          <w:color w:val="222222"/>
          <w:lang w:eastAsia="en-GB"/>
        </w:rPr>
        <w:t>Proportion of males and females in each quartile band</w:t>
      </w:r>
    </w:p>
    <w:p w14:paraId="65A38179" w14:textId="77777777" w:rsidR="00A25FB8" w:rsidRPr="003168B8" w:rsidRDefault="00A25FB8" w:rsidP="00A25FB8">
      <w:pPr>
        <w:shd w:val="clear" w:color="auto" w:fill="FFFFFF"/>
        <w:spacing w:after="150" w:line="240" w:lineRule="auto"/>
        <w:rPr>
          <w:rFonts w:ascii="Arial" w:eastAsia="Times New Roman" w:hAnsi="Arial" w:cs="Arial"/>
          <w:color w:val="222222"/>
          <w:lang w:eastAsia="en-GB"/>
        </w:rPr>
      </w:pPr>
      <w:r w:rsidRPr="003168B8">
        <w:rPr>
          <w:rFonts w:ascii="Arial" w:eastAsia="Times New Roman" w:hAnsi="Arial" w:cs="Arial"/>
          <w:color w:val="222222"/>
          <w:lang w:eastAsia="en-GB"/>
        </w:rPr>
        <w:t>Quartiles are the division of the total workforce into four equal sections or pay bands.</w:t>
      </w:r>
    </w:p>
    <w:p w14:paraId="4CAAF51E" w14:textId="10FAC058" w:rsidR="00E22C3B" w:rsidRPr="003168B8" w:rsidRDefault="00B91EB7" w:rsidP="00E60204">
      <w:pPr>
        <w:shd w:val="clear" w:color="auto" w:fill="FFFFFF"/>
        <w:spacing w:after="150" w:line="240" w:lineRule="auto"/>
        <w:rPr>
          <w:rFonts w:ascii="Arial" w:eastAsia="Times New Roman" w:hAnsi="Arial" w:cs="Arial"/>
          <w:color w:val="222222"/>
          <w:lang w:eastAsia="en-GB"/>
        </w:rPr>
      </w:pPr>
      <w:r w:rsidRPr="003168B8">
        <w:rPr>
          <w:rFonts w:ascii="Arial" w:eastAsia="Times New Roman" w:hAnsi="Arial" w:cs="Arial"/>
          <w:color w:val="222222"/>
          <w:lang w:eastAsia="en-GB"/>
        </w:rPr>
        <w:t xml:space="preserve">As </w:t>
      </w:r>
      <w:proofErr w:type="gramStart"/>
      <w:r w:rsidRPr="003168B8">
        <w:rPr>
          <w:rFonts w:ascii="Arial" w:eastAsia="Times New Roman" w:hAnsi="Arial" w:cs="Arial"/>
          <w:color w:val="222222"/>
          <w:lang w:eastAsia="en-GB"/>
        </w:rPr>
        <w:t>at</w:t>
      </w:r>
      <w:proofErr w:type="gramEnd"/>
      <w:r w:rsidRPr="003168B8">
        <w:rPr>
          <w:rFonts w:ascii="Arial" w:eastAsia="Times New Roman" w:hAnsi="Arial" w:cs="Arial"/>
          <w:color w:val="222222"/>
          <w:lang w:eastAsia="en-GB"/>
        </w:rPr>
        <w:t xml:space="preserve"> 5 April 20</w:t>
      </w:r>
      <w:r w:rsidR="00153DB2">
        <w:rPr>
          <w:rFonts w:ascii="Arial" w:eastAsia="Times New Roman" w:hAnsi="Arial" w:cs="Arial"/>
          <w:color w:val="222222"/>
          <w:lang w:eastAsia="en-GB"/>
        </w:rPr>
        <w:t>2</w:t>
      </w:r>
      <w:r w:rsidR="004E054B">
        <w:rPr>
          <w:rFonts w:ascii="Arial" w:eastAsia="Times New Roman" w:hAnsi="Arial" w:cs="Arial"/>
          <w:color w:val="222222"/>
          <w:lang w:eastAsia="en-GB"/>
        </w:rPr>
        <w:t>3</w:t>
      </w:r>
      <w:r w:rsidRPr="003168B8">
        <w:rPr>
          <w:rFonts w:ascii="Arial" w:eastAsia="Times New Roman" w:hAnsi="Arial" w:cs="Arial"/>
          <w:color w:val="222222"/>
          <w:lang w:eastAsia="en-GB"/>
        </w:rPr>
        <w:t xml:space="preserve">, </w:t>
      </w:r>
      <w:r w:rsidR="00E22C3B" w:rsidRPr="003168B8">
        <w:rPr>
          <w:rFonts w:ascii="Arial" w:eastAsia="Times New Roman" w:hAnsi="Arial" w:cs="Arial"/>
          <w:color w:val="222222"/>
          <w:lang w:eastAsia="en-GB"/>
        </w:rPr>
        <w:t>Dorothy House’</w:t>
      </w:r>
      <w:r w:rsidRPr="003168B8">
        <w:rPr>
          <w:rFonts w:ascii="Arial" w:eastAsia="Times New Roman" w:hAnsi="Arial" w:cs="Arial"/>
          <w:color w:val="222222"/>
          <w:lang w:eastAsia="en-GB"/>
        </w:rPr>
        <w:t xml:space="preserve">s workforce of </w:t>
      </w:r>
      <w:r w:rsidR="004E054B">
        <w:rPr>
          <w:rFonts w:ascii="Arial" w:eastAsia="Times New Roman" w:hAnsi="Arial" w:cs="Arial"/>
          <w:color w:val="222222"/>
          <w:lang w:eastAsia="en-GB"/>
        </w:rPr>
        <w:t>423</w:t>
      </w:r>
      <w:r w:rsidR="00153DB2" w:rsidRPr="003168B8">
        <w:rPr>
          <w:rFonts w:ascii="Arial" w:eastAsia="Times New Roman" w:hAnsi="Arial" w:cs="Arial"/>
          <w:color w:val="222222"/>
          <w:lang w:eastAsia="en-GB"/>
        </w:rPr>
        <w:t xml:space="preserve"> </w:t>
      </w:r>
      <w:r w:rsidRPr="003168B8">
        <w:rPr>
          <w:rFonts w:ascii="Arial" w:eastAsia="Times New Roman" w:hAnsi="Arial" w:cs="Arial"/>
          <w:color w:val="222222"/>
          <w:lang w:eastAsia="en-GB"/>
        </w:rPr>
        <w:t>was</w:t>
      </w:r>
      <w:r w:rsidR="00E22C3B" w:rsidRPr="003168B8">
        <w:rPr>
          <w:rFonts w:ascii="Arial" w:eastAsia="Times New Roman" w:hAnsi="Arial" w:cs="Arial"/>
          <w:color w:val="222222"/>
          <w:lang w:eastAsia="en-GB"/>
        </w:rPr>
        <w:t xml:space="preserve"> </w:t>
      </w:r>
      <w:r w:rsidR="008E151D" w:rsidRPr="003168B8">
        <w:rPr>
          <w:rFonts w:ascii="Arial" w:eastAsia="Times New Roman" w:hAnsi="Arial" w:cs="Arial"/>
          <w:color w:val="222222"/>
          <w:lang w:eastAsia="en-GB"/>
        </w:rPr>
        <w:t>8</w:t>
      </w:r>
      <w:r w:rsidR="004E054B">
        <w:rPr>
          <w:rFonts w:ascii="Arial" w:eastAsia="Times New Roman" w:hAnsi="Arial" w:cs="Arial"/>
          <w:color w:val="222222"/>
          <w:lang w:eastAsia="en-GB"/>
        </w:rPr>
        <w:t>2</w:t>
      </w:r>
      <w:r w:rsidR="008E151D" w:rsidRPr="003168B8">
        <w:rPr>
          <w:rFonts w:ascii="Arial" w:eastAsia="Times New Roman" w:hAnsi="Arial" w:cs="Arial"/>
          <w:color w:val="222222"/>
          <w:lang w:eastAsia="en-GB"/>
        </w:rPr>
        <w:t>% fem</w:t>
      </w:r>
      <w:r w:rsidRPr="003168B8">
        <w:rPr>
          <w:rFonts w:ascii="Arial" w:eastAsia="Times New Roman" w:hAnsi="Arial" w:cs="Arial"/>
          <w:color w:val="222222"/>
          <w:lang w:eastAsia="en-GB"/>
        </w:rPr>
        <w:t xml:space="preserve">ale with </w:t>
      </w:r>
      <w:r w:rsidR="003240D1">
        <w:rPr>
          <w:rFonts w:ascii="Arial" w:eastAsia="Times New Roman" w:hAnsi="Arial" w:cs="Arial"/>
          <w:color w:val="222222"/>
          <w:lang w:eastAsia="en-GB"/>
        </w:rPr>
        <w:t>3</w:t>
      </w:r>
      <w:r w:rsidR="004E054B">
        <w:rPr>
          <w:rFonts w:ascii="Arial" w:eastAsia="Times New Roman" w:hAnsi="Arial" w:cs="Arial"/>
          <w:color w:val="222222"/>
          <w:lang w:eastAsia="en-GB"/>
        </w:rPr>
        <w:t>47</w:t>
      </w:r>
      <w:r w:rsidR="003240D1">
        <w:rPr>
          <w:rFonts w:ascii="Arial" w:eastAsia="Times New Roman" w:hAnsi="Arial" w:cs="Arial"/>
          <w:color w:val="222222"/>
          <w:lang w:eastAsia="en-GB"/>
        </w:rPr>
        <w:t xml:space="preserve"> </w:t>
      </w:r>
      <w:r w:rsidRPr="003168B8">
        <w:rPr>
          <w:rFonts w:ascii="Arial" w:eastAsia="Times New Roman" w:hAnsi="Arial" w:cs="Arial"/>
          <w:color w:val="222222"/>
          <w:lang w:eastAsia="en-GB"/>
        </w:rPr>
        <w:t xml:space="preserve">women and </w:t>
      </w:r>
      <w:r w:rsidR="004E054B">
        <w:rPr>
          <w:rFonts w:ascii="Arial" w:eastAsia="Times New Roman" w:hAnsi="Arial" w:cs="Arial"/>
          <w:color w:val="222222"/>
          <w:lang w:eastAsia="en-GB"/>
        </w:rPr>
        <w:t>76</w:t>
      </w:r>
      <w:r w:rsidRPr="003168B8">
        <w:rPr>
          <w:rFonts w:ascii="Arial" w:eastAsia="Times New Roman" w:hAnsi="Arial" w:cs="Arial"/>
          <w:color w:val="222222"/>
          <w:lang w:eastAsia="en-GB"/>
        </w:rPr>
        <w:t xml:space="preserve"> men.  This does not differ significantly from </w:t>
      </w:r>
      <w:r w:rsidR="00153DB2" w:rsidRPr="003168B8">
        <w:rPr>
          <w:rFonts w:ascii="Arial" w:eastAsia="Times New Roman" w:hAnsi="Arial" w:cs="Arial"/>
          <w:color w:val="222222"/>
          <w:lang w:eastAsia="en-GB"/>
        </w:rPr>
        <w:t>20</w:t>
      </w:r>
      <w:r w:rsidR="003240D1">
        <w:rPr>
          <w:rFonts w:ascii="Arial" w:eastAsia="Times New Roman" w:hAnsi="Arial" w:cs="Arial"/>
          <w:color w:val="222222"/>
          <w:lang w:eastAsia="en-GB"/>
        </w:rPr>
        <w:t>2</w:t>
      </w:r>
      <w:r w:rsidR="004E054B">
        <w:rPr>
          <w:rFonts w:ascii="Arial" w:eastAsia="Times New Roman" w:hAnsi="Arial" w:cs="Arial"/>
          <w:color w:val="222222"/>
          <w:lang w:eastAsia="en-GB"/>
        </w:rPr>
        <w:t>2</w:t>
      </w:r>
      <w:r w:rsidR="00153DB2" w:rsidRPr="003168B8">
        <w:rPr>
          <w:rFonts w:ascii="Arial" w:eastAsia="Times New Roman" w:hAnsi="Arial" w:cs="Arial"/>
          <w:color w:val="222222"/>
          <w:lang w:eastAsia="en-GB"/>
        </w:rPr>
        <w:t xml:space="preserve"> </w:t>
      </w:r>
      <w:r w:rsidRPr="003168B8">
        <w:rPr>
          <w:rFonts w:ascii="Arial" w:eastAsia="Times New Roman" w:hAnsi="Arial" w:cs="Arial"/>
          <w:color w:val="222222"/>
          <w:lang w:eastAsia="en-GB"/>
        </w:rPr>
        <w:t xml:space="preserve">with staff numbers of </w:t>
      </w:r>
      <w:r w:rsidR="003240D1">
        <w:rPr>
          <w:rFonts w:ascii="Arial" w:eastAsia="Times New Roman" w:hAnsi="Arial" w:cs="Arial"/>
          <w:color w:val="222222"/>
          <w:lang w:eastAsia="en-GB"/>
        </w:rPr>
        <w:t>3</w:t>
      </w:r>
      <w:r w:rsidR="004E054B">
        <w:rPr>
          <w:rFonts w:ascii="Arial" w:eastAsia="Times New Roman" w:hAnsi="Arial" w:cs="Arial"/>
          <w:color w:val="222222"/>
          <w:lang w:eastAsia="en-GB"/>
        </w:rPr>
        <w:t>99</w:t>
      </w:r>
      <w:r w:rsidR="00153DB2" w:rsidRPr="003168B8">
        <w:rPr>
          <w:rFonts w:ascii="Arial" w:eastAsia="Times New Roman" w:hAnsi="Arial" w:cs="Arial"/>
          <w:color w:val="222222"/>
          <w:lang w:eastAsia="en-GB"/>
        </w:rPr>
        <w:t xml:space="preserve"> </w:t>
      </w:r>
      <w:r w:rsidRPr="003168B8">
        <w:rPr>
          <w:rFonts w:ascii="Arial" w:eastAsia="Times New Roman" w:hAnsi="Arial" w:cs="Arial"/>
          <w:color w:val="222222"/>
          <w:lang w:eastAsia="en-GB"/>
        </w:rPr>
        <w:t xml:space="preserve">and </w:t>
      </w:r>
      <w:r w:rsidR="00153DB2" w:rsidRPr="003168B8">
        <w:rPr>
          <w:rFonts w:ascii="Arial" w:eastAsia="Times New Roman" w:hAnsi="Arial" w:cs="Arial"/>
          <w:color w:val="222222"/>
          <w:lang w:eastAsia="en-GB"/>
        </w:rPr>
        <w:t>8</w:t>
      </w:r>
      <w:r w:rsidR="004E054B">
        <w:rPr>
          <w:rFonts w:ascii="Arial" w:eastAsia="Times New Roman" w:hAnsi="Arial" w:cs="Arial"/>
          <w:color w:val="222222"/>
          <w:lang w:eastAsia="en-GB"/>
        </w:rPr>
        <w:t>3</w:t>
      </w:r>
      <w:r w:rsidRPr="003168B8">
        <w:rPr>
          <w:rFonts w:ascii="Arial" w:eastAsia="Times New Roman" w:hAnsi="Arial" w:cs="Arial"/>
          <w:color w:val="222222"/>
          <w:lang w:eastAsia="en-GB"/>
        </w:rPr>
        <w:t xml:space="preserve">% female. </w:t>
      </w:r>
    </w:p>
    <w:p w14:paraId="558A6AE5" w14:textId="77777777" w:rsidR="008E151D" w:rsidRPr="003168B8" w:rsidRDefault="00BF6C31" w:rsidP="00E60204">
      <w:pPr>
        <w:shd w:val="clear" w:color="auto" w:fill="FFFFFF"/>
        <w:spacing w:after="150" w:line="240" w:lineRule="auto"/>
        <w:rPr>
          <w:rFonts w:ascii="Arial" w:eastAsia="Times New Roman" w:hAnsi="Arial" w:cs="Arial"/>
          <w:color w:val="222222"/>
          <w:lang w:eastAsia="en-GB"/>
        </w:rPr>
      </w:pPr>
      <w:r w:rsidRPr="003168B8">
        <w:rPr>
          <w:rFonts w:ascii="Arial" w:eastAsia="Times New Roman" w:hAnsi="Arial" w:cs="Arial"/>
          <w:color w:val="222222"/>
          <w:lang w:eastAsia="en-GB"/>
        </w:rPr>
        <w:t>The gender pay quartiles breakdown is</w:t>
      </w:r>
      <w:r w:rsidR="008E151D" w:rsidRPr="003168B8">
        <w:rPr>
          <w:rFonts w:ascii="Arial" w:eastAsia="Times New Roman" w:hAnsi="Arial" w:cs="Arial"/>
          <w:color w:val="222222"/>
          <w:lang w:eastAsia="en-GB"/>
        </w:rPr>
        <w:t xml:space="preserve"> as follows</w:t>
      </w:r>
      <w:r w:rsidRPr="003168B8">
        <w:rPr>
          <w:rFonts w:ascii="Arial" w:eastAsia="Times New Roman" w:hAnsi="Arial" w:cs="Arial"/>
          <w:color w:val="222222"/>
          <w:lang w:eastAsia="en-GB"/>
        </w:rPr>
        <w:t>:</w:t>
      </w:r>
    </w:p>
    <w:tbl>
      <w:tblPr>
        <w:tblStyle w:val="TableGrid"/>
        <w:tblW w:w="0" w:type="auto"/>
        <w:tblLook w:val="04A0" w:firstRow="1" w:lastRow="0" w:firstColumn="1" w:lastColumn="0" w:noHBand="0" w:noVBand="1"/>
      </w:tblPr>
      <w:tblGrid>
        <w:gridCol w:w="3005"/>
        <w:gridCol w:w="1810"/>
        <w:gridCol w:w="1701"/>
      </w:tblGrid>
      <w:tr w:rsidR="008E151D" w:rsidRPr="003168B8" w14:paraId="5C634492" w14:textId="77777777" w:rsidTr="008E151D">
        <w:tc>
          <w:tcPr>
            <w:tcW w:w="3005" w:type="dxa"/>
          </w:tcPr>
          <w:p w14:paraId="3A33BBB8" w14:textId="77777777" w:rsidR="008E151D" w:rsidRPr="003168B8" w:rsidRDefault="008E151D" w:rsidP="00E60204">
            <w:pPr>
              <w:spacing w:after="150"/>
              <w:rPr>
                <w:rFonts w:ascii="Arial" w:eastAsia="Times New Roman" w:hAnsi="Arial" w:cs="Arial"/>
                <w:b/>
                <w:color w:val="222222"/>
                <w:lang w:eastAsia="en-GB"/>
              </w:rPr>
            </w:pPr>
            <w:r w:rsidRPr="003168B8">
              <w:rPr>
                <w:rFonts w:ascii="Arial" w:eastAsia="Times New Roman" w:hAnsi="Arial" w:cs="Arial"/>
                <w:b/>
                <w:color w:val="222222"/>
                <w:lang w:eastAsia="en-GB"/>
              </w:rPr>
              <w:t>Quartile</w:t>
            </w:r>
          </w:p>
        </w:tc>
        <w:tc>
          <w:tcPr>
            <w:tcW w:w="1810" w:type="dxa"/>
          </w:tcPr>
          <w:p w14:paraId="6DB5443A" w14:textId="77777777" w:rsidR="008E151D" w:rsidRPr="003168B8" w:rsidRDefault="006627AC" w:rsidP="00E60204">
            <w:pPr>
              <w:spacing w:after="150"/>
              <w:rPr>
                <w:rFonts w:ascii="Arial" w:eastAsia="Times New Roman" w:hAnsi="Arial" w:cs="Arial"/>
                <w:b/>
                <w:color w:val="222222"/>
                <w:lang w:eastAsia="en-GB"/>
              </w:rPr>
            </w:pPr>
            <w:r w:rsidRPr="003168B8">
              <w:rPr>
                <w:rFonts w:ascii="Arial" w:eastAsia="Times New Roman" w:hAnsi="Arial" w:cs="Arial"/>
                <w:b/>
                <w:color w:val="222222"/>
                <w:lang w:eastAsia="en-GB"/>
              </w:rPr>
              <w:t>% Male</w:t>
            </w:r>
          </w:p>
        </w:tc>
        <w:tc>
          <w:tcPr>
            <w:tcW w:w="1701" w:type="dxa"/>
          </w:tcPr>
          <w:p w14:paraId="5E0762B9" w14:textId="77777777" w:rsidR="008E151D" w:rsidRPr="003168B8" w:rsidRDefault="006627AC" w:rsidP="00E60204">
            <w:pPr>
              <w:spacing w:after="150"/>
              <w:rPr>
                <w:rFonts w:ascii="Arial" w:eastAsia="Times New Roman" w:hAnsi="Arial" w:cs="Arial"/>
                <w:b/>
                <w:color w:val="222222"/>
                <w:lang w:eastAsia="en-GB"/>
              </w:rPr>
            </w:pPr>
            <w:r w:rsidRPr="003168B8">
              <w:rPr>
                <w:rFonts w:ascii="Arial" w:eastAsia="Times New Roman" w:hAnsi="Arial" w:cs="Arial"/>
                <w:b/>
                <w:color w:val="222222"/>
                <w:lang w:eastAsia="en-GB"/>
              </w:rPr>
              <w:t>% Female</w:t>
            </w:r>
          </w:p>
        </w:tc>
      </w:tr>
      <w:tr w:rsidR="008E151D" w:rsidRPr="003168B8" w14:paraId="5D34135C" w14:textId="77777777" w:rsidTr="008E151D">
        <w:tc>
          <w:tcPr>
            <w:tcW w:w="3005" w:type="dxa"/>
          </w:tcPr>
          <w:p w14:paraId="674A8E6C" w14:textId="77777777" w:rsidR="008E151D" w:rsidRPr="003168B8" w:rsidRDefault="008E151D" w:rsidP="00E60204">
            <w:pPr>
              <w:spacing w:after="150"/>
              <w:rPr>
                <w:rFonts w:ascii="Arial" w:eastAsia="Times New Roman" w:hAnsi="Arial" w:cs="Arial"/>
                <w:color w:val="222222"/>
                <w:lang w:eastAsia="en-GB"/>
              </w:rPr>
            </w:pPr>
            <w:r w:rsidRPr="003168B8">
              <w:rPr>
                <w:rFonts w:ascii="Arial" w:eastAsia="Times New Roman" w:hAnsi="Arial" w:cs="Arial"/>
                <w:color w:val="222222"/>
                <w:lang w:eastAsia="en-GB"/>
              </w:rPr>
              <w:t>Lower Quartile</w:t>
            </w:r>
          </w:p>
        </w:tc>
        <w:tc>
          <w:tcPr>
            <w:tcW w:w="1810" w:type="dxa"/>
          </w:tcPr>
          <w:p w14:paraId="3246A8F7" w14:textId="48D6AE24" w:rsidR="008E151D" w:rsidRPr="003168B8" w:rsidRDefault="00153DB2" w:rsidP="00E60204">
            <w:pPr>
              <w:spacing w:after="150"/>
              <w:rPr>
                <w:rFonts w:ascii="Arial" w:eastAsia="Times New Roman" w:hAnsi="Arial" w:cs="Arial"/>
                <w:color w:val="222222"/>
                <w:lang w:eastAsia="en-GB"/>
              </w:rPr>
            </w:pPr>
            <w:r>
              <w:rPr>
                <w:rFonts w:ascii="Arial" w:eastAsia="Times New Roman" w:hAnsi="Arial" w:cs="Arial"/>
                <w:color w:val="222222"/>
                <w:lang w:eastAsia="en-GB"/>
              </w:rPr>
              <w:t>2</w:t>
            </w:r>
            <w:r w:rsidR="004E054B">
              <w:rPr>
                <w:rFonts w:ascii="Arial" w:eastAsia="Times New Roman" w:hAnsi="Arial" w:cs="Arial"/>
                <w:color w:val="222222"/>
                <w:lang w:eastAsia="en-GB"/>
              </w:rPr>
              <w:t>9</w:t>
            </w:r>
            <w:r w:rsidR="008E151D" w:rsidRPr="003168B8">
              <w:rPr>
                <w:rFonts w:ascii="Arial" w:eastAsia="Times New Roman" w:hAnsi="Arial" w:cs="Arial"/>
                <w:color w:val="222222"/>
                <w:lang w:eastAsia="en-GB"/>
              </w:rPr>
              <w:t>%</w:t>
            </w:r>
          </w:p>
        </w:tc>
        <w:tc>
          <w:tcPr>
            <w:tcW w:w="1701" w:type="dxa"/>
          </w:tcPr>
          <w:p w14:paraId="5BCCDC80" w14:textId="287BFC5D" w:rsidR="008E151D" w:rsidRPr="003168B8" w:rsidRDefault="00153DB2" w:rsidP="00E60204">
            <w:pPr>
              <w:spacing w:after="150"/>
              <w:rPr>
                <w:rFonts w:ascii="Arial" w:eastAsia="Times New Roman" w:hAnsi="Arial" w:cs="Arial"/>
                <w:color w:val="222222"/>
                <w:lang w:eastAsia="en-GB"/>
              </w:rPr>
            </w:pPr>
            <w:r>
              <w:rPr>
                <w:rFonts w:ascii="Arial" w:eastAsia="Times New Roman" w:hAnsi="Arial" w:cs="Arial"/>
                <w:color w:val="222222"/>
                <w:lang w:eastAsia="en-GB"/>
              </w:rPr>
              <w:t>7</w:t>
            </w:r>
            <w:r w:rsidR="004E054B">
              <w:rPr>
                <w:rFonts w:ascii="Arial" w:eastAsia="Times New Roman" w:hAnsi="Arial" w:cs="Arial"/>
                <w:color w:val="222222"/>
                <w:lang w:eastAsia="en-GB"/>
              </w:rPr>
              <w:t>1</w:t>
            </w:r>
            <w:r w:rsidR="008E151D" w:rsidRPr="003168B8">
              <w:rPr>
                <w:rFonts w:ascii="Arial" w:eastAsia="Times New Roman" w:hAnsi="Arial" w:cs="Arial"/>
                <w:color w:val="222222"/>
                <w:lang w:eastAsia="en-GB"/>
              </w:rPr>
              <w:t>%</w:t>
            </w:r>
          </w:p>
        </w:tc>
      </w:tr>
      <w:tr w:rsidR="008E151D" w:rsidRPr="003168B8" w14:paraId="358A157E" w14:textId="77777777" w:rsidTr="008E151D">
        <w:tc>
          <w:tcPr>
            <w:tcW w:w="3005" w:type="dxa"/>
          </w:tcPr>
          <w:p w14:paraId="31D789BD" w14:textId="77777777" w:rsidR="008E151D" w:rsidRPr="003168B8" w:rsidRDefault="008E151D" w:rsidP="00E60204">
            <w:pPr>
              <w:spacing w:after="150"/>
              <w:rPr>
                <w:rFonts w:ascii="Arial" w:eastAsia="Times New Roman" w:hAnsi="Arial" w:cs="Arial"/>
                <w:color w:val="222222"/>
                <w:lang w:eastAsia="en-GB"/>
              </w:rPr>
            </w:pPr>
            <w:r w:rsidRPr="003168B8">
              <w:rPr>
                <w:rFonts w:ascii="Arial" w:eastAsia="Times New Roman" w:hAnsi="Arial" w:cs="Arial"/>
                <w:color w:val="222222"/>
                <w:lang w:eastAsia="en-GB"/>
              </w:rPr>
              <w:t>Lower Middle Quartile</w:t>
            </w:r>
          </w:p>
        </w:tc>
        <w:tc>
          <w:tcPr>
            <w:tcW w:w="1810" w:type="dxa"/>
          </w:tcPr>
          <w:p w14:paraId="34CBDEEB" w14:textId="3F1E6638" w:rsidR="008E151D" w:rsidRPr="003168B8" w:rsidRDefault="003240D1" w:rsidP="00E60204">
            <w:pPr>
              <w:spacing w:after="150"/>
              <w:rPr>
                <w:rFonts w:ascii="Arial" w:eastAsia="Times New Roman" w:hAnsi="Arial" w:cs="Arial"/>
                <w:color w:val="222222"/>
                <w:lang w:eastAsia="en-GB"/>
              </w:rPr>
            </w:pPr>
            <w:r>
              <w:rPr>
                <w:rFonts w:ascii="Arial" w:eastAsia="Times New Roman" w:hAnsi="Arial" w:cs="Arial"/>
                <w:color w:val="222222"/>
                <w:lang w:eastAsia="en-GB"/>
              </w:rPr>
              <w:t>1</w:t>
            </w:r>
            <w:r w:rsidR="004E054B">
              <w:rPr>
                <w:rFonts w:ascii="Arial" w:eastAsia="Times New Roman" w:hAnsi="Arial" w:cs="Arial"/>
                <w:color w:val="222222"/>
                <w:lang w:eastAsia="en-GB"/>
              </w:rPr>
              <w:t>3</w:t>
            </w:r>
            <w:r w:rsidR="008E151D" w:rsidRPr="003168B8">
              <w:rPr>
                <w:rFonts w:ascii="Arial" w:eastAsia="Times New Roman" w:hAnsi="Arial" w:cs="Arial"/>
                <w:color w:val="222222"/>
                <w:lang w:eastAsia="en-GB"/>
              </w:rPr>
              <w:t>%</w:t>
            </w:r>
          </w:p>
        </w:tc>
        <w:tc>
          <w:tcPr>
            <w:tcW w:w="1701" w:type="dxa"/>
          </w:tcPr>
          <w:p w14:paraId="0C33AD40" w14:textId="3159CDB3" w:rsidR="008E151D" w:rsidRPr="003168B8" w:rsidRDefault="003240D1" w:rsidP="00153DB2">
            <w:pPr>
              <w:spacing w:after="150"/>
              <w:rPr>
                <w:rFonts w:ascii="Arial" w:eastAsia="Times New Roman" w:hAnsi="Arial" w:cs="Arial"/>
                <w:color w:val="222222"/>
                <w:lang w:eastAsia="en-GB"/>
              </w:rPr>
            </w:pPr>
            <w:r>
              <w:rPr>
                <w:rFonts w:ascii="Arial" w:eastAsia="Times New Roman" w:hAnsi="Arial" w:cs="Arial"/>
                <w:color w:val="222222"/>
                <w:lang w:eastAsia="en-GB"/>
              </w:rPr>
              <w:t>8</w:t>
            </w:r>
            <w:r w:rsidR="004E054B">
              <w:rPr>
                <w:rFonts w:ascii="Arial" w:eastAsia="Times New Roman" w:hAnsi="Arial" w:cs="Arial"/>
                <w:color w:val="222222"/>
                <w:lang w:eastAsia="en-GB"/>
              </w:rPr>
              <w:t>7</w:t>
            </w:r>
            <w:r w:rsidR="008E151D" w:rsidRPr="003168B8">
              <w:rPr>
                <w:rFonts w:ascii="Arial" w:eastAsia="Times New Roman" w:hAnsi="Arial" w:cs="Arial"/>
                <w:color w:val="222222"/>
                <w:lang w:eastAsia="en-GB"/>
              </w:rPr>
              <w:t>%</w:t>
            </w:r>
          </w:p>
        </w:tc>
      </w:tr>
      <w:tr w:rsidR="008E151D" w:rsidRPr="003168B8" w14:paraId="435B7771" w14:textId="77777777" w:rsidTr="008E151D">
        <w:tc>
          <w:tcPr>
            <w:tcW w:w="3005" w:type="dxa"/>
          </w:tcPr>
          <w:p w14:paraId="0D6740D1" w14:textId="77777777" w:rsidR="008E151D" w:rsidRPr="003168B8" w:rsidRDefault="008E151D" w:rsidP="00E60204">
            <w:pPr>
              <w:spacing w:after="150"/>
              <w:rPr>
                <w:rFonts w:ascii="Arial" w:eastAsia="Times New Roman" w:hAnsi="Arial" w:cs="Arial"/>
                <w:color w:val="222222"/>
                <w:lang w:eastAsia="en-GB"/>
              </w:rPr>
            </w:pPr>
            <w:r w:rsidRPr="003168B8">
              <w:rPr>
                <w:rFonts w:ascii="Arial" w:eastAsia="Times New Roman" w:hAnsi="Arial" w:cs="Arial"/>
                <w:color w:val="222222"/>
                <w:lang w:eastAsia="en-GB"/>
              </w:rPr>
              <w:t xml:space="preserve">Upper Middle Quartile </w:t>
            </w:r>
          </w:p>
        </w:tc>
        <w:tc>
          <w:tcPr>
            <w:tcW w:w="1810" w:type="dxa"/>
          </w:tcPr>
          <w:p w14:paraId="4D2E54B0" w14:textId="7255204A" w:rsidR="008E151D" w:rsidRPr="003168B8" w:rsidRDefault="004E054B" w:rsidP="00E60204">
            <w:pPr>
              <w:spacing w:after="150"/>
              <w:rPr>
                <w:rFonts w:ascii="Arial" w:eastAsia="Times New Roman" w:hAnsi="Arial" w:cs="Arial"/>
                <w:color w:val="222222"/>
                <w:lang w:eastAsia="en-GB"/>
              </w:rPr>
            </w:pPr>
            <w:r>
              <w:rPr>
                <w:rFonts w:ascii="Arial" w:eastAsia="Times New Roman" w:hAnsi="Arial" w:cs="Arial"/>
                <w:color w:val="222222"/>
                <w:lang w:eastAsia="en-GB"/>
              </w:rPr>
              <w:t>11</w:t>
            </w:r>
            <w:r w:rsidR="008E151D" w:rsidRPr="003168B8">
              <w:rPr>
                <w:rFonts w:ascii="Arial" w:eastAsia="Times New Roman" w:hAnsi="Arial" w:cs="Arial"/>
                <w:color w:val="222222"/>
                <w:lang w:eastAsia="en-GB"/>
              </w:rPr>
              <w:t>%</w:t>
            </w:r>
          </w:p>
        </w:tc>
        <w:tc>
          <w:tcPr>
            <w:tcW w:w="1701" w:type="dxa"/>
          </w:tcPr>
          <w:p w14:paraId="0573B7B6" w14:textId="07D3EABE" w:rsidR="008E151D" w:rsidRPr="003168B8" w:rsidRDefault="004E054B" w:rsidP="00E60204">
            <w:pPr>
              <w:spacing w:after="150"/>
              <w:rPr>
                <w:rFonts w:ascii="Arial" w:eastAsia="Times New Roman" w:hAnsi="Arial" w:cs="Arial"/>
                <w:color w:val="222222"/>
                <w:lang w:eastAsia="en-GB"/>
              </w:rPr>
            </w:pPr>
            <w:r>
              <w:rPr>
                <w:rFonts w:ascii="Arial" w:eastAsia="Times New Roman" w:hAnsi="Arial" w:cs="Arial"/>
                <w:color w:val="222222"/>
                <w:lang w:eastAsia="en-GB"/>
              </w:rPr>
              <w:t>89</w:t>
            </w:r>
            <w:r w:rsidR="008E151D" w:rsidRPr="003168B8">
              <w:rPr>
                <w:rFonts w:ascii="Arial" w:eastAsia="Times New Roman" w:hAnsi="Arial" w:cs="Arial"/>
                <w:color w:val="222222"/>
                <w:lang w:eastAsia="en-GB"/>
              </w:rPr>
              <w:t>%</w:t>
            </w:r>
          </w:p>
        </w:tc>
      </w:tr>
      <w:tr w:rsidR="008E151D" w:rsidRPr="003168B8" w14:paraId="04C79ED1" w14:textId="77777777" w:rsidTr="008E151D">
        <w:tc>
          <w:tcPr>
            <w:tcW w:w="3005" w:type="dxa"/>
          </w:tcPr>
          <w:p w14:paraId="2701F7FA" w14:textId="77777777" w:rsidR="008E151D" w:rsidRPr="003168B8" w:rsidRDefault="008E151D" w:rsidP="00E60204">
            <w:pPr>
              <w:spacing w:after="150"/>
              <w:rPr>
                <w:rFonts w:ascii="Arial" w:eastAsia="Times New Roman" w:hAnsi="Arial" w:cs="Arial"/>
                <w:color w:val="222222"/>
                <w:lang w:eastAsia="en-GB"/>
              </w:rPr>
            </w:pPr>
            <w:r w:rsidRPr="003168B8">
              <w:rPr>
                <w:rFonts w:ascii="Arial" w:eastAsia="Times New Roman" w:hAnsi="Arial" w:cs="Arial"/>
                <w:color w:val="222222"/>
                <w:lang w:eastAsia="en-GB"/>
              </w:rPr>
              <w:t>Upper Quartile</w:t>
            </w:r>
          </w:p>
        </w:tc>
        <w:tc>
          <w:tcPr>
            <w:tcW w:w="1810" w:type="dxa"/>
          </w:tcPr>
          <w:p w14:paraId="11930811" w14:textId="42D34C6B" w:rsidR="008E151D" w:rsidRPr="003168B8" w:rsidRDefault="003240D1" w:rsidP="00E60204">
            <w:pPr>
              <w:spacing w:after="150"/>
              <w:rPr>
                <w:rFonts w:ascii="Arial" w:eastAsia="Times New Roman" w:hAnsi="Arial" w:cs="Arial"/>
                <w:color w:val="222222"/>
                <w:lang w:eastAsia="en-GB"/>
              </w:rPr>
            </w:pPr>
            <w:r>
              <w:rPr>
                <w:rFonts w:ascii="Arial" w:eastAsia="Times New Roman" w:hAnsi="Arial" w:cs="Arial"/>
                <w:color w:val="222222"/>
                <w:lang w:eastAsia="en-GB"/>
              </w:rPr>
              <w:t>1</w:t>
            </w:r>
            <w:r w:rsidR="004E054B">
              <w:rPr>
                <w:rFonts w:ascii="Arial" w:eastAsia="Times New Roman" w:hAnsi="Arial" w:cs="Arial"/>
                <w:color w:val="222222"/>
                <w:lang w:eastAsia="en-GB"/>
              </w:rPr>
              <w:t>8</w:t>
            </w:r>
            <w:r w:rsidR="008E151D" w:rsidRPr="003168B8">
              <w:rPr>
                <w:rFonts w:ascii="Arial" w:eastAsia="Times New Roman" w:hAnsi="Arial" w:cs="Arial"/>
                <w:color w:val="222222"/>
                <w:lang w:eastAsia="en-GB"/>
              </w:rPr>
              <w:t>%</w:t>
            </w:r>
          </w:p>
        </w:tc>
        <w:tc>
          <w:tcPr>
            <w:tcW w:w="1701" w:type="dxa"/>
          </w:tcPr>
          <w:p w14:paraId="50A92A46" w14:textId="66214139" w:rsidR="008E151D" w:rsidRPr="003168B8" w:rsidRDefault="003240D1" w:rsidP="00E60204">
            <w:pPr>
              <w:spacing w:after="150"/>
              <w:rPr>
                <w:rFonts w:ascii="Arial" w:eastAsia="Times New Roman" w:hAnsi="Arial" w:cs="Arial"/>
                <w:color w:val="222222"/>
                <w:lang w:eastAsia="en-GB"/>
              </w:rPr>
            </w:pPr>
            <w:r>
              <w:rPr>
                <w:rFonts w:ascii="Arial" w:eastAsia="Times New Roman" w:hAnsi="Arial" w:cs="Arial"/>
                <w:color w:val="222222"/>
                <w:lang w:eastAsia="en-GB"/>
              </w:rPr>
              <w:t>8</w:t>
            </w:r>
            <w:r w:rsidR="004E054B">
              <w:rPr>
                <w:rFonts w:ascii="Arial" w:eastAsia="Times New Roman" w:hAnsi="Arial" w:cs="Arial"/>
                <w:color w:val="222222"/>
                <w:lang w:eastAsia="en-GB"/>
              </w:rPr>
              <w:t>2</w:t>
            </w:r>
            <w:r w:rsidR="008E151D" w:rsidRPr="003168B8">
              <w:rPr>
                <w:rFonts w:ascii="Arial" w:eastAsia="Times New Roman" w:hAnsi="Arial" w:cs="Arial"/>
                <w:color w:val="222222"/>
                <w:lang w:eastAsia="en-GB"/>
              </w:rPr>
              <w:t>%</w:t>
            </w:r>
          </w:p>
        </w:tc>
      </w:tr>
    </w:tbl>
    <w:p w14:paraId="7924742A" w14:textId="77777777" w:rsidR="008E151D" w:rsidRDefault="008E151D" w:rsidP="00E60204">
      <w:pPr>
        <w:shd w:val="clear" w:color="auto" w:fill="FFFFFF"/>
        <w:spacing w:after="150" w:line="240" w:lineRule="auto"/>
        <w:rPr>
          <w:rFonts w:ascii="Arial" w:eastAsia="Times New Roman" w:hAnsi="Arial" w:cs="Arial"/>
          <w:color w:val="222222"/>
          <w:lang w:eastAsia="en-GB"/>
        </w:rPr>
      </w:pPr>
    </w:p>
    <w:p w14:paraId="5012BCB9" w14:textId="6D6938DE" w:rsidR="004E054B" w:rsidRPr="004E054B" w:rsidRDefault="004E054B" w:rsidP="00E60204">
      <w:pPr>
        <w:shd w:val="clear" w:color="auto" w:fill="FFFFFF"/>
        <w:spacing w:after="150" w:line="240" w:lineRule="auto"/>
        <w:rPr>
          <w:rFonts w:ascii="Arial" w:eastAsia="Times New Roman" w:hAnsi="Arial" w:cs="Arial"/>
          <w:b/>
          <w:bCs/>
          <w:color w:val="222222"/>
          <w:lang w:eastAsia="en-GB"/>
        </w:rPr>
      </w:pPr>
      <w:r>
        <w:rPr>
          <w:rFonts w:ascii="Arial" w:eastAsia="Times New Roman" w:hAnsi="Arial" w:cs="Arial"/>
          <w:b/>
          <w:bCs/>
          <w:color w:val="222222"/>
          <w:lang w:eastAsia="en-GB"/>
        </w:rPr>
        <w:t xml:space="preserve">Percentage </w:t>
      </w:r>
      <w:r w:rsidRPr="004E054B">
        <w:rPr>
          <w:rFonts w:ascii="Arial" w:eastAsia="Times New Roman" w:hAnsi="Arial" w:cs="Arial"/>
          <w:b/>
          <w:bCs/>
          <w:color w:val="222222"/>
          <w:lang w:eastAsia="en-GB"/>
        </w:rPr>
        <w:t xml:space="preserve">of men and women who received bonus </w:t>
      </w:r>
      <w:proofErr w:type="gramStart"/>
      <w:r w:rsidRPr="004E054B">
        <w:rPr>
          <w:rFonts w:ascii="Arial" w:eastAsia="Times New Roman" w:hAnsi="Arial" w:cs="Arial"/>
          <w:b/>
          <w:bCs/>
          <w:color w:val="222222"/>
          <w:lang w:eastAsia="en-GB"/>
        </w:rPr>
        <w:t>pay</w:t>
      </w:r>
      <w:proofErr w:type="gramEnd"/>
    </w:p>
    <w:p w14:paraId="77DA4D1D" w14:textId="5CD2DFEA" w:rsidR="004E054B" w:rsidRDefault="004E054B" w:rsidP="00E60204">
      <w:pPr>
        <w:shd w:val="clear" w:color="auto" w:fill="FFFFFF"/>
        <w:spacing w:after="150" w:line="240" w:lineRule="auto"/>
        <w:rPr>
          <w:rFonts w:ascii="Arial" w:eastAsia="Times New Roman" w:hAnsi="Arial" w:cs="Arial"/>
          <w:color w:val="222222"/>
          <w:lang w:eastAsia="en-GB"/>
        </w:rPr>
      </w:pPr>
      <w:r>
        <w:rPr>
          <w:rFonts w:ascii="Arial" w:eastAsia="Times New Roman" w:hAnsi="Arial" w:cs="Arial"/>
          <w:color w:val="222222"/>
          <w:lang w:eastAsia="en-GB"/>
        </w:rPr>
        <w:t xml:space="preserve">Percentage of Men Receiving Bonus Pay </w:t>
      </w:r>
      <w:r>
        <w:rPr>
          <w:rFonts w:ascii="Arial" w:eastAsia="Times New Roman" w:hAnsi="Arial" w:cs="Arial"/>
          <w:color w:val="222222"/>
          <w:lang w:eastAsia="en-GB"/>
        </w:rPr>
        <w:tab/>
      </w:r>
      <w:r>
        <w:rPr>
          <w:rFonts w:ascii="Arial" w:eastAsia="Times New Roman" w:hAnsi="Arial" w:cs="Arial"/>
          <w:color w:val="222222"/>
          <w:lang w:eastAsia="en-GB"/>
        </w:rPr>
        <w:tab/>
        <w:t>38%</w:t>
      </w:r>
    </w:p>
    <w:p w14:paraId="5A89191E" w14:textId="3401C421" w:rsidR="004E054B" w:rsidRDefault="004E054B" w:rsidP="00E60204">
      <w:pPr>
        <w:shd w:val="clear" w:color="auto" w:fill="FFFFFF"/>
        <w:spacing w:after="150" w:line="240" w:lineRule="auto"/>
        <w:rPr>
          <w:rFonts w:ascii="Arial" w:eastAsia="Times New Roman" w:hAnsi="Arial" w:cs="Arial"/>
          <w:color w:val="222222"/>
          <w:lang w:eastAsia="en-GB"/>
        </w:rPr>
      </w:pPr>
      <w:r>
        <w:rPr>
          <w:rFonts w:ascii="Arial" w:eastAsia="Times New Roman" w:hAnsi="Arial" w:cs="Arial"/>
          <w:color w:val="222222"/>
          <w:lang w:eastAsia="en-GB"/>
        </w:rPr>
        <w:t xml:space="preserve">Percentage of Women Receiving Bonus Pay </w:t>
      </w:r>
      <w:r>
        <w:rPr>
          <w:rFonts w:ascii="Arial" w:eastAsia="Times New Roman" w:hAnsi="Arial" w:cs="Arial"/>
          <w:color w:val="222222"/>
          <w:lang w:eastAsia="en-GB"/>
        </w:rPr>
        <w:tab/>
        <w:t>14%</w:t>
      </w:r>
    </w:p>
    <w:p w14:paraId="33ECECD7" w14:textId="6735DAA2" w:rsidR="004E054B" w:rsidRDefault="004F3E66" w:rsidP="00E60204">
      <w:pPr>
        <w:shd w:val="clear" w:color="auto" w:fill="FFFFFF"/>
        <w:spacing w:after="150" w:line="240" w:lineRule="auto"/>
        <w:rPr>
          <w:rFonts w:ascii="Arial" w:eastAsia="Times New Roman" w:hAnsi="Arial" w:cs="Arial"/>
          <w:color w:val="222222"/>
          <w:lang w:eastAsia="en-GB"/>
        </w:rPr>
      </w:pPr>
      <w:r>
        <w:rPr>
          <w:rFonts w:ascii="Arial" w:eastAsia="Times New Roman" w:hAnsi="Arial" w:cs="Arial"/>
          <w:color w:val="222222"/>
          <w:lang w:eastAsia="en-GB"/>
        </w:rPr>
        <w:t xml:space="preserve">Bonuses are only paid within our Retail operations based on achieving certain performance targets. The above </w:t>
      </w:r>
      <w:r w:rsidR="00B0770E">
        <w:rPr>
          <w:rFonts w:ascii="Arial" w:eastAsia="Times New Roman" w:hAnsi="Arial" w:cs="Arial"/>
          <w:color w:val="222222"/>
          <w:lang w:eastAsia="en-GB"/>
        </w:rPr>
        <w:t>percentage</w:t>
      </w:r>
      <w:r>
        <w:rPr>
          <w:rFonts w:ascii="Arial" w:eastAsia="Times New Roman" w:hAnsi="Arial" w:cs="Arial"/>
          <w:color w:val="222222"/>
          <w:lang w:eastAsia="en-GB"/>
        </w:rPr>
        <w:t xml:space="preserve">s are a reflection that our workforce within the hospice operations, where bonuses are not paid, is predominantly female, resulting in a lower % of women receiving a bonus. Our retail operations have a more balanced gender split and hence the % of men receiving a bonus is higher. </w:t>
      </w:r>
    </w:p>
    <w:p w14:paraId="705B6209" w14:textId="77777777" w:rsidR="004E054B" w:rsidRDefault="004E054B" w:rsidP="00E60204">
      <w:pPr>
        <w:shd w:val="clear" w:color="auto" w:fill="FFFFFF"/>
        <w:spacing w:after="150" w:line="240" w:lineRule="auto"/>
        <w:rPr>
          <w:rFonts w:ascii="Arial" w:eastAsia="Times New Roman" w:hAnsi="Arial" w:cs="Arial"/>
          <w:color w:val="222222"/>
          <w:lang w:eastAsia="en-GB"/>
        </w:rPr>
      </w:pPr>
    </w:p>
    <w:p w14:paraId="068970F6" w14:textId="77777777" w:rsidR="008E151D" w:rsidRPr="003168B8" w:rsidRDefault="000D6D0A" w:rsidP="00E60204">
      <w:pPr>
        <w:shd w:val="clear" w:color="auto" w:fill="FFFFFF"/>
        <w:spacing w:after="150" w:line="240" w:lineRule="auto"/>
        <w:rPr>
          <w:rFonts w:ascii="Arial" w:eastAsia="Times New Roman" w:hAnsi="Arial" w:cs="Arial"/>
          <w:b/>
          <w:color w:val="222222"/>
          <w:lang w:eastAsia="en-GB"/>
        </w:rPr>
      </w:pPr>
      <w:r w:rsidRPr="003168B8">
        <w:rPr>
          <w:rFonts w:ascii="Arial" w:eastAsia="Times New Roman" w:hAnsi="Arial" w:cs="Arial"/>
          <w:b/>
          <w:color w:val="222222"/>
          <w:lang w:eastAsia="en-GB"/>
        </w:rPr>
        <w:t>Summary</w:t>
      </w:r>
    </w:p>
    <w:p w14:paraId="61BF5107" w14:textId="5D450D98" w:rsidR="000D6D0A" w:rsidRDefault="00A25FB8" w:rsidP="00E60204">
      <w:pPr>
        <w:shd w:val="clear" w:color="auto" w:fill="FFFFFF"/>
        <w:spacing w:after="150" w:line="240" w:lineRule="auto"/>
        <w:rPr>
          <w:rFonts w:ascii="Arial" w:eastAsia="Times New Roman" w:hAnsi="Arial" w:cs="Arial"/>
          <w:color w:val="222222"/>
          <w:lang w:eastAsia="en-GB"/>
        </w:rPr>
      </w:pPr>
      <w:r w:rsidRPr="003168B8">
        <w:rPr>
          <w:rFonts w:ascii="Arial" w:eastAsia="Times New Roman" w:hAnsi="Arial" w:cs="Arial"/>
          <w:color w:val="222222"/>
          <w:lang w:eastAsia="en-GB"/>
        </w:rPr>
        <w:t xml:space="preserve">Our gender </w:t>
      </w:r>
      <w:proofErr w:type="gramStart"/>
      <w:r w:rsidRPr="003168B8">
        <w:rPr>
          <w:rFonts w:ascii="Arial" w:eastAsia="Times New Roman" w:hAnsi="Arial" w:cs="Arial"/>
          <w:color w:val="222222"/>
          <w:lang w:eastAsia="en-GB"/>
        </w:rPr>
        <w:t>pay</w:t>
      </w:r>
      <w:proofErr w:type="gramEnd"/>
      <w:r w:rsidRPr="003168B8">
        <w:rPr>
          <w:rFonts w:ascii="Arial" w:eastAsia="Times New Roman" w:hAnsi="Arial" w:cs="Arial"/>
          <w:color w:val="222222"/>
          <w:lang w:eastAsia="en-GB"/>
        </w:rPr>
        <w:t xml:space="preserve"> gap results reflect the fact that, like many hospices and healthcare organisations, Dorothy House employs a largely female workforce</w:t>
      </w:r>
      <w:r w:rsidR="00BE6C69" w:rsidRPr="003168B8">
        <w:rPr>
          <w:rFonts w:ascii="Arial" w:eastAsia="Times New Roman" w:hAnsi="Arial" w:cs="Arial"/>
          <w:color w:val="222222"/>
          <w:lang w:eastAsia="en-GB"/>
        </w:rPr>
        <w:t xml:space="preserve">. </w:t>
      </w:r>
      <w:r w:rsidRPr="003168B8">
        <w:rPr>
          <w:rFonts w:ascii="Arial" w:eastAsia="Times New Roman" w:hAnsi="Arial" w:cs="Arial"/>
          <w:color w:val="222222"/>
          <w:lang w:eastAsia="en-GB"/>
        </w:rPr>
        <w:t xml:space="preserve">We have strong representation of women in senior roles at Dorothy House </w:t>
      </w:r>
      <w:r w:rsidR="006627AC" w:rsidRPr="003168B8">
        <w:rPr>
          <w:rFonts w:ascii="Arial" w:eastAsia="Times New Roman" w:hAnsi="Arial" w:cs="Arial"/>
          <w:color w:val="222222"/>
          <w:lang w:eastAsia="en-GB"/>
        </w:rPr>
        <w:t>as per the table above</w:t>
      </w:r>
      <w:r w:rsidR="00A22DBA">
        <w:rPr>
          <w:rFonts w:ascii="Arial" w:eastAsia="Times New Roman" w:hAnsi="Arial" w:cs="Arial"/>
          <w:color w:val="222222"/>
          <w:lang w:eastAsia="en-GB"/>
        </w:rPr>
        <w:t xml:space="preserve">, including within our Executive Team which had a </w:t>
      </w:r>
      <w:r w:rsidR="004E054B">
        <w:rPr>
          <w:rFonts w:ascii="Arial" w:eastAsia="Times New Roman" w:hAnsi="Arial" w:cs="Arial"/>
          <w:color w:val="222222"/>
          <w:lang w:eastAsia="en-GB"/>
        </w:rPr>
        <w:t>4</w:t>
      </w:r>
      <w:r w:rsidR="00A22DBA">
        <w:rPr>
          <w:rFonts w:ascii="Arial" w:eastAsia="Times New Roman" w:hAnsi="Arial" w:cs="Arial"/>
          <w:color w:val="222222"/>
          <w:lang w:eastAsia="en-GB"/>
        </w:rPr>
        <w:t>0% female membership</w:t>
      </w:r>
      <w:r w:rsidR="006627AC" w:rsidRPr="003168B8">
        <w:rPr>
          <w:rFonts w:ascii="Arial" w:eastAsia="Times New Roman" w:hAnsi="Arial" w:cs="Arial"/>
          <w:color w:val="222222"/>
          <w:lang w:eastAsia="en-GB"/>
        </w:rPr>
        <w:t>.</w:t>
      </w:r>
    </w:p>
    <w:p w14:paraId="03945436" w14:textId="6280A767" w:rsidR="003168B8" w:rsidRPr="003168B8" w:rsidRDefault="004E054B" w:rsidP="003168B8">
      <w:pPr>
        <w:shd w:val="clear" w:color="auto" w:fill="FFFFFF"/>
        <w:spacing w:after="150" w:line="240" w:lineRule="auto"/>
        <w:rPr>
          <w:rFonts w:ascii="Arial" w:eastAsia="Times New Roman" w:hAnsi="Arial" w:cs="Arial"/>
          <w:color w:val="222222"/>
          <w:lang w:eastAsia="en-GB"/>
        </w:rPr>
      </w:pPr>
      <w:r>
        <w:rPr>
          <w:rFonts w:ascii="Arial" w:eastAsia="Times New Roman" w:hAnsi="Arial" w:cs="Arial"/>
          <w:color w:val="222222"/>
          <w:lang w:eastAsia="en-GB"/>
        </w:rPr>
        <w:t>41</w:t>
      </w:r>
      <w:r w:rsidR="003168B8" w:rsidRPr="003168B8">
        <w:rPr>
          <w:rFonts w:ascii="Arial" w:eastAsia="Times New Roman" w:hAnsi="Arial" w:cs="Arial"/>
          <w:color w:val="222222"/>
          <w:lang w:eastAsia="en-GB"/>
        </w:rPr>
        <w:t xml:space="preserve">% of the male workforce are in the lower quartile whereas the female workforce is more evenly spread across the organisation. This imbalance results in Dorothy House’s negative gender pay gap </w:t>
      </w:r>
      <w:r w:rsidR="00A22DBA">
        <w:rPr>
          <w:rFonts w:ascii="Arial" w:eastAsia="Times New Roman" w:hAnsi="Arial" w:cs="Arial"/>
          <w:color w:val="222222"/>
          <w:lang w:eastAsia="en-GB"/>
        </w:rPr>
        <w:t xml:space="preserve">based on the median measure, </w:t>
      </w:r>
      <w:r w:rsidR="003168B8" w:rsidRPr="003168B8">
        <w:rPr>
          <w:rFonts w:ascii="Arial" w:eastAsia="Times New Roman" w:hAnsi="Arial" w:cs="Arial"/>
          <w:color w:val="222222"/>
          <w:lang w:eastAsia="en-GB"/>
        </w:rPr>
        <w:t xml:space="preserve">with male employees appearing </w:t>
      </w:r>
      <w:r w:rsidR="00A22DBA">
        <w:rPr>
          <w:rFonts w:ascii="Arial" w:eastAsia="Times New Roman" w:hAnsi="Arial" w:cs="Arial"/>
          <w:color w:val="222222"/>
          <w:lang w:eastAsia="en-GB"/>
        </w:rPr>
        <w:t xml:space="preserve">predominantly </w:t>
      </w:r>
      <w:r w:rsidR="003168B8" w:rsidRPr="003168B8">
        <w:rPr>
          <w:rFonts w:ascii="Arial" w:eastAsia="Times New Roman" w:hAnsi="Arial" w:cs="Arial"/>
          <w:color w:val="222222"/>
          <w:lang w:eastAsia="en-GB"/>
        </w:rPr>
        <w:t xml:space="preserve">at the lower end of pay. </w:t>
      </w:r>
    </w:p>
    <w:p w14:paraId="6C6F46D9" w14:textId="7337CE66" w:rsidR="00AC6DC4" w:rsidRPr="003168B8" w:rsidRDefault="00A22DBA" w:rsidP="00E60204">
      <w:pPr>
        <w:shd w:val="clear" w:color="auto" w:fill="FFFFFF"/>
        <w:spacing w:after="150" w:line="240" w:lineRule="auto"/>
        <w:rPr>
          <w:rFonts w:ascii="Arial" w:eastAsia="Times New Roman" w:hAnsi="Arial" w:cs="Arial"/>
          <w:color w:val="222222"/>
          <w:lang w:eastAsia="en-GB"/>
        </w:rPr>
      </w:pPr>
      <w:r>
        <w:rPr>
          <w:rFonts w:ascii="Arial" w:eastAsia="Times New Roman" w:hAnsi="Arial" w:cs="Arial"/>
          <w:color w:val="222222"/>
          <w:lang w:eastAsia="en-GB"/>
        </w:rPr>
        <w:lastRenderedPageBreak/>
        <w:t>O</w:t>
      </w:r>
      <w:r w:rsidR="00A25FB8" w:rsidRPr="003168B8">
        <w:rPr>
          <w:rFonts w:ascii="Arial" w:eastAsia="Times New Roman" w:hAnsi="Arial" w:cs="Arial"/>
          <w:color w:val="222222"/>
          <w:lang w:eastAsia="en-GB"/>
        </w:rPr>
        <w:t xml:space="preserve">ur intention remains to attract men as well as women to roles across every pay band quartile.  </w:t>
      </w:r>
      <w:r w:rsidR="00AC6DC4" w:rsidRPr="003168B8">
        <w:rPr>
          <w:rFonts w:ascii="Arial" w:hAnsi="Arial" w:cs="Arial"/>
          <w:color w:val="333333"/>
        </w:rPr>
        <w:t xml:space="preserve">Gender balance </w:t>
      </w:r>
      <w:r w:rsidR="00BE6C69" w:rsidRPr="003168B8">
        <w:rPr>
          <w:rFonts w:ascii="Arial" w:hAnsi="Arial" w:cs="Arial"/>
          <w:color w:val="333333"/>
        </w:rPr>
        <w:t>and diversity are important in ensuring</w:t>
      </w:r>
      <w:r w:rsidR="00AC6DC4" w:rsidRPr="003168B8">
        <w:rPr>
          <w:rFonts w:ascii="Arial" w:hAnsi="Arial" w:cs="Arial"/>
          <w:color w:val="333333"/>
        </w:rPr>
        <w:t xml:space="preserve"> that organisations have a combination of masculine and feminine appr</w:t>
      </w:r>
      <w:r w:rsidR="00BF6C31" w:rsidRPr="003168B8">
        <w:rPr>
          <w:rFonts w:ascii="Arial" w:hAnsi="Arial" w:cs="Arial"/>
          <w:color w:val="333333"/>
        </w:rPr>
        <w:t>oaches and solutions</w:t>
      </w:r>
      <w:r w:rsidR="00BE6C69" w:rsidRPr="003168B8">
        <w:rPr>
          <w:rFonts w:ascii="Arial" w:hAnsi="Arial" w:cs="Arial"/>
          <w:color w:val="333333"/>
        </w:rPr>
        <w:t>,</w:t>
      </w:r>
      <w:r w:rsidR="00BF6C31" w:rsidRPr="003168B8">
        <w:rPr>
          <w:rFonts w:ascii="Arial" w:hAnsi="Arial" w:cs="Arial"/>
          <w:color w:val="333333"/>
        </w:rPr>
        <w:t xml:space="preserve"> making them more effective and </w:t>
      </w:r>
      <w:r w:rsidR="00AC6DC4" w:rsidRPr="003168B8">
        <w:rPr>
          <w:rFonts w:ascii="Arial" w:hAnsi="Arial" w:cs="Arial"/>
          <w:color w:val="333333"/>
        </w:rPr>
        <w:t>resilient.</w:t>
      </w:r>
    </w:p>
    <w:p w14:paraId="03FDEB9F" w14:textId="77777777" w:rsidR="000D6D0A" w:rsidRPr="003168B8" w:rsidRDefault="000D6D0A" w:rsidP="00E60204">
      <w:pPr>
        <w:shd w:val="clear" w:color="auto" w:fill="FFFFFF"/>
        <w:spacing w:after="150" w:line="240" w:lineRule="auto"/>
        <w:rPr>
          <w:rFonts w:ascii="Arial" w:eastAsia="Times New Roman" w:hAnsi="Arial" w:cs="Arial"/>
          <w:color w:val="222222"/>
          <w:lang w:eastAsia="en-GB"/>
        </w:rPr>
      </w:pPr>
    </w:p>
    <w:p w14:paraId="3F44DEBF" w14:textId="77777777" w:rsidR="00BE6C69" w:rsidRPr="003168B8" w:rsidRDefault="00BE6C69" w:rsidP="00E60204">
      <w:pPr>
        <w:shd w:val="clear" w:color="auto" w:fill="FFFFFF"/>
        <w:spacing w:after="150" w:line="240" w:lineRule="auto"/>
        <w:rPr>
          <w:rFonts w:ascii="Arial" w:eastAsia="Times New Roman" w:hAnsi="Arial" w:cs="Arial"/>
          <w:b/>
          <w:color w:val="222222"/>
          <w:lang w:eastAsia="en-GB"/>
        </w:rPr>
      </w:pPr>
      <w:r w:rsidRPr="003168B8">
        <w:rPr>
          <w:rFonts w:ascii="Arial" w:eastAsia="Times New Roman" w:hAnsi="Arial" w:cs="Arial"/>
          <w:b/>
          <w:color w:val="222222"/>
          <w:lang w:eastAsia="en-GB"/>
        </w:rPr>
        <w:t>Statement</w:t>
      </w:r>
    </w:p>
    <w:p w14:paraId="502210C4" w14:textId="0CD2032B" w:rsidR="00BE6C69" w:rsidRPr="003168B8" w:rsidRDefault="00BE6C69" w:rsidP="00E60204">
      <w:pPr>
        <w:shd w:val="clear" w:color="auto" w:fill="FFFFFF"/>
        <w:spacing w:after="150" w:line="240" w:lineRule="auto"/>
        <w:rPr>
          <w:rFonts w:ascii="Arial" w:eastAsia="Times New Roman" w:hAnsi="Arial" w:cs="Arial"/>
          <w:color w:val="222222"/>
          <w:lang w:eastAsia="en-GB"/>
        </w:rPr>
      </w:pPr>
      <w:r w:rsidRPr="003168B8">
        <w:rPr>
          <w:rFonts w:ascii="Arial" w:eastAsia="Times New Roman" w:hAnsi="Arial" w:cs="Arial"/>
          <w:color w:val="222222"/>
          <w:lang w:eastAsia="en-GB"/>
        </w:rPr>
        <w:t>I confirm that Dorothy House Hospice Care is committed to the principle of gender pay equality and has prepared its 20</w:t>
      </w:r>
      <w:r w:rsidR="00153DB2">
        <w:rPr>
          <w:rFonts w:ascii="Arial" w:eastAsia="Times New Roman" w:hAnsi="Arial" w:cs="Arial"/>
          <w:color w:val="222222"/>
          <w:lang w:eastAsia="en-GB"/>
        </w:rPr>
        <w:t>2</w:t>
      </w:r>
      <w:r w:rsidR="004E054B">
        <w:rPr>
          <w:rFonts w:ascii="Arial" w:eastAsia="Times New Roman" w:hAnsi="Arial" w:cs="Arial"/>
          <w:color w:val="222222"/>
          <w:lang w:eastAsia="en-GB"/>
        </w:rPr>
        <w:t>3</w:t>
      </w:r>
      <w:r w:rsidRPr="003168B8">
        <w:rPr>
          <w:rFonts w:ascii="Arial" w:eastAsia="Times New Roman" w:hAnsi="Arial" w:cs="Arial"/>
          <w:color w:val="222222"/>
          <w:lang w:eastAsia="en-GB"/>
        </w:rPr>
        <w:t xml:space="preserve"> gender pay gap results in line with mandatory requirements. </w:t>
      </w:r>
    </w:p>
    <w:p w14:paraId="45E9FEB4" w14:textId="77777777" w:rsidR="00BE6C69" w:rsidRPr="003168B8" w:rsidRDefault="00BE6C69" w:rsidP="00E60204">
      <w:pPr>
        <w:shd w:val="clear" w:color="auto" w:fill="FFFFFF"/>
        <w:spacing w:after="150" w:line="240" w:lineRule="auto"/>
        <w:rPr>
          <w:rFonts w:ascii="Arial" w:eastAsia="Times New Roman" w:hAnsi="Arial" w:cs="Arial"/>
          <w:color w:val="222222"/>
          <w:lang w:eastAsia="en-GB"/>
        </w:rPr>
      </w:pPr>
    </w:p>
    <w:p w14:paraId="3CDD0E84" w14:textId="77777777" w:rsidR="00BE6C69" w:rsidRPr="003168B8" w:rsidRDefault="00BE6C69" w:rsidP="00E60204">
      <w:pPr>
        <w:shd w:val="clear" w:color="auto" w:fill="FFFFFF"/>
        <w:spacing w:after="150" w:line="240" w:lineRule="auto"/>
        <w:rPr>
          <w:rFonts w:ascii="Arial" w:eastAsia="Times New Roman" w:hAnsi="Arial" w:cs="Arial"/>
          <w:b/>
          <w:color w:val="222222"/>
          <w:lang w:eastAsia="en-GB"/>
        </w:rPr>
      </w:pPr>
      <w:r w:rsidRPr="003168B8">
        <w:rPr>
          <w:rFonts w:ascii="Arial" w:eastAsia="Times New Roman" w:hAnsi="Arial" w:cs="Arial"/>
          <w:b/>
          <w:color w:val="222222"/>
          <w:lang w:eastAsia="en-GB"/>
        </w:rPr>
        <w:t>Wayne de Leeuw</w:t>
      </w:r>
    </w:p>
    <w:p w14:paraId="0782B09A" w14:textId="77777777" w:rsidR="00BE6C69" w:rsidRPr="003168B8" w:rsidRDefault="00BE6C69" w:rsidP="00E60204">
      <w:pPr>
        <w:shd w:val="clear" w:color="auto" w:fill="FFFFFF"/>
        <w:spacing w:after="150" w:line="240" w:lineRule="auto"/>
        <w:rPr>
          <w:rFonts w:ascii="Arial" w:eastAsia="Times New Roman" w:hAnsi="Arial" w:cs="Arial"/>
          <w:b/>
          <w:color w:val="222222"/>
          <w:lang w:eastAsia="en-GB"/>
        </w:rPr>
      </w:pPr>
      <w:r w:rsidRPr="003168B8">
        <w:rPr>
          <w:rFonts w:ascii="Arial" w:eastAsia="Times New Roman" w:hAnsi="Arial" w:cs="Arial"/>
          <w:b/>
          <w:color w:val="222222"/>
          <w:lang w:eastAsia="en-GB"/>
        </w:rPr>
        <w:t>Chief Executive</w:t>
      </w:r>
    </w:p>
    <w:p w14:paraId="3BBDC4D5" w14:textId="77777777" w:rsidR="008E151D" w:rsidRPr="003168B8" w:rsidRDefault="008E151D" w:rsidP="00E60204">
      <w:pPr>
        <w:shd w:val="clear" w:color="auto" w:fill="FFFFFF"/>
        <w:spacing w:after="150" w:line="240" w:lineRule="auto"/>
        <w:rPr>
          <w:rFonts w:ascii="Arial" w:eastAsia="Times New Roman" w:hAnsi="Arial" w:cs="Arial"/>
          <w:color w:val="222222"/>
          <w:lang w:eastAsia="en-GB"/>
        </w:rPr>
      </w:pPr>
    </w:p>
    <w:p w14:paraId="7A3504C1" w14:textId="77777777" w:rsidR="008E151D" w:rsidRPr="003168B8" w:rsidRDefault="008E151D" w:rsidP="00E60204">
      <w:pPr>
        <w:shd w:val="clear" w:color="auto" w:fill="FFFFFF"/>
        <w:spacing w:after="150" w:line="240" w:lineRule="auto"/>
        <w:rPr>
          <w:rFonts w:ascii="Arial" w:eastAsia="Times New Roman" w:hAnsi="Arial" w:cs="Arial"/>
          <w:color w:val="222222"/>
          <w:lang w:eastAsia="en-GB"/>
        </w:rPr>
      </w:pPr>
    </w:p>
    <w:p w14:paraId="5F045719" w14:textId="77777777" w:rsidR="00E60204" w:rsidRPr="003168B8" w:rsidRDefault="00E60204">
      <w:pPr>
        <w:rPr>
          <w:rFonts w:ascii="Arial" w:hAnsi="Arial" w:cs="Arial"/>
        </w:rPr>
      </w:pPr>
    </w:p>
    <w:sectPr w:rsidR="00E60204" w:rsidRPr="003168B8" w:rsidSect="003168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747EDC"/>
    <w:multiLevelType w:val="hybridMultilevel"/>
    <w:tmpl w:val="1C5C62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99309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204"/>
    <w:rsid w:val="000D6D0A"/>
    <w:rsid w:val="00153DB2"/>
    <w:rsid w:val="0018448A"/>
    <w:rsid w:val="003168B8"/>
    <w:rsid w:val="003240D1"/>
    <w:rsid w:val="00477483"/>
    <w:rsid w:val="004A1CBF"/>
    <w:rsid w:val="004E054B"/>
    <w:rsid w:val="004F3E66"/>
    <w:rsid w:val="00510C13"/>
    <w:rsid w:val="0059569E"/>
    <w:rsid w:val="006627AC"/>
    <w:rsid w:val="00670872"/>
    <w:rsid w:val="006D2C4C"/>
    <w:rsid w:val="00702E02"/>
    <w:rsid w:val="007A780E"/>
    <w:rsid w:val="00833F49"/>
    <w:rsid w:val="008D0752"/>
    <w:rsid w:val="008E151D"/>
    <w:rsid w:val="00A22DBA"/>
    <w:rsid w:val="00A25FB8"/>
    <w:rsid w:val="00AC6DC4"/>
    <w:rsid w:val="00B0770E"/>
    <w:rsid w:val="00B91EB7"/>
    <w:rsid w:val="00B93BB2"/>
    <w:rsid w:val="00BC1B9B"/>
    <w:rsid w:val="00BE6C69"/>
    <w:rsid w:val="00BF18E9"/>
    <w:rsid w:val="00BF6C31"/>
    <w:rsid w:val="00CA3005"/>
    <w:rsid w:val="00CC7DE1"/>
    <w:rsid w:val="00D814E2"/>
    <w:rsid w:val="00E22C3B"/>
    <w:rsid w:val="00E60204"/>
    <w:rsid w:val="00EE4382"/>
    <w:rsid w:val="00F30F03"/>
    <w:rsid w:val="00FD09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9230E"/>
  <w15:chartTrackingRefBased/>
  <w15:docId w15:val="{BAD3D64F-0385-4798-892E-F121BBD0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1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10C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0C13"/>
    <w:rPr>
      <w:rFonts w:ascii="Segoe UI" w:hAnsi="Segoe UI" w:cs="Segoe UI"/>
      <w:sz w:val="18"/>
      <w:szCs w:val="18"/>
    </w:rPr>
  </w:style>
  <w:style w:type="paragraph" w:styleId="Revision">
    <w:name w:val="Revision"/>
    <w:hidden/>
    <w:uiPriority w:val="99"/>
    <w:semiHidden/>
    <w:rsid w:val="00153DB2"/>
    <w:pPr>
      <w:spacing w:after="0" w:line="240" w:lineRule="auto"/>
    </w:pPr>
  </w:style>
  <w:style w:type="paragraph" w:styleId="ListParagraph">
    <w:name w:val="List Paragraph"/>
    <w:basedOn w:val="Normal"/>
    <w:uiPriority w:val="34"/>
    <w:qFormat/>
    <w:rsid w:val="00702E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6093243">
      <w:bodyDiv w:val="1"/>
      <w:marLeft w:val="0"/>
      <w:marRight w:val="0"/>
      <w:marTop w:val="0"/>
      <w:marBottom w:val="0"/>
      <w:divBdr>
        <w:top w:val="none" w:sz="0" w:space="0" w:color="auto"/>
        <w:left w:val="none" w:sz="0" w:space="0" w:color="auto"/>
        <w:bottom w:val="none" w:sz="0" w:space="0" w:color="auto"/>
        <w:right w:val="none" w:sz="0" w:space="0" w:color="auto"/>
      </w:divBdr>
    </w:div>
    <w:div w:id="1280183807">
      <w:bodyDiv w:val="1"/>
      <w:marLeft w:val="0"/>
      <w:marRight w:val="0"/>
      <w:marTop w:val="0"/>
      <w:marBottom w:val="0"/>
      <w:divBdr>
        <w:top w:val="none" w:sz="0" w:space="0" w:color="auto"/>
        <w:left w:val="none" w:sz="0" w:space="0" w:color="auto"/>
        <w:bottom w:val="none" w:sz="0" w:space="0" w:color="auto"/>
        <w:right w:val="none" w:sz="0" w:space="0" w:color="auto"/>
      </w:divBdr>
    </w:div>
    <w:div w:id="202914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582F7891C1AF488FD61A7DFDE3CE2D" ma:contentTypeVersion="11" ma:contentTypeDescription="Create a new document." ma:contentTypeScope="" ma:versionID="5107099632ae796b8d5384e5156c011c">
  <xsd:schema xmlns:xsd="http://www.w3.org/2001/XMLSchema" xmlns:xs="http://www.w3.org/2001/XMLSchema" xmlns:p="http://schemas.microsoft.com/office/2006/metadata/properties" xmlns:ns2="a7c5357f-8d3a-4b2d-9304-bd11f5808ad0" xmlns:ns3="699c01cf-ab7d-4a17-9478-7b3e79e74585" targetNamespace="http://schemas.microsoft.com/office/2006/metadata/properties" ma:root="true" ma:fieldsID="11261b3d584d47cf4eb60acf1374fb7f" ns2:_="" ns3:_="">
    <xsd:import namespace="a7c5357f-8d3a-4b2d-9304-bd11f5808ad0"/>
    <xsd:import namespace="699c01cf-ab7d-4a17-9478-7b3e79e7458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c5357f-8d3a-4b2d-9304-bd11f5808a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6f3de93-9145-4ddc-8765-5b7cb69649d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9c01cf-ab7d-4a17-9478-7b3e79e7458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0ee6455-1b0b-4140-bd89-bf8ed16869d4}" ma:internalName="TaxCatchAll" ma:showField="CatchAllData" ma:web="699c01cf-ab7d-4a17-9478-7b3e79e745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99c01cf-ab7d-4a17-9478-7b3e79e74585" xsi:nil="true"/>
    <lcf76f155ced4ddcb4097134ff3c332f xmlns="a7c5357f-8d3a-4b2d-9304-bd11f5808a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C69CC4-4564-43A1-87C6-DF5E2801B1F6}"/>
</file>

<file path=customXml/itemProps2.xml><?xml version="1.0" encoding="utf-8"?>
<ds:datastoreItem xmlns:ds="http://schemas.openxmlformats.org/officeDocument/2006/customXml" ds:itemID="{A82EF01D-4C07-43F7-ADEF-12B4C720D406}"/>
</file>

<file path=customXml/itemProps3.xml><?xml version="1.0" encoding="utf-8"?>
<ds:datastoreItem xmlns:ds="http://schemas.openxmlformats.org/officeDocument/2006/customXml" ds:itemID="{60F12D49-71F4-439B-8672-39668F0515EB}"/>
</file>

<file path=docProps/app.xml><?xml version="1.0" encoding="utf-8"?>
<Properties xmlns="http://schemas.openxmlformats.org/officeDocument/2006/extended-properties" xmlns:vt="http://schemas.openxmlformats.org/officeDocument/2006/docPropsVTypes">
  <Template>Normal</Template>
  <TotalTime>42</TotalTime>
  <Pages>3</Pages>
  <Words>674</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Dorothy House Hospice Care</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Madel</dc:creator>
  <cp:keywords/>
  <dc:description/>
  <cp:lastModifiedBy>Martyn Smith</cp:lastModifiedBy>
  <cp:revision>5</cp:revision>
  <cp:lastPrinted>2023-03-31T12:33:00Z</cp:lastPrinted>
  <dcterms:created xsi:type="dcterms:W3CDTF">2024-03-28T16:34:00Z</dcterms:created>
  <dcterms:modified xsi:type="dcterms:W3CDTF">2024-04-11T10:54:00Z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0x010100F6582F7891C1AF488FD61A7DFDE3CE2D</vt:lpwstr>
  </property>
  <property fmtid="{D5CDD505-2E9C-101B-9397-08002B2CF9AE}" pid="3" name="Order">
    <vt:r8>2946800</vt:r8>
  </property>
</Properties>
</file>