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9345" w14:textId="77777777" w:rsidR="00BF6C31" w:rsidRDefault="00E60204" w:rsidP="00BF6C31">
      <w:pPr>
        <w:jc w:val="center"/>
        <w:rPr>
          <w:rFonts w:ascii="Arial" w:hAnsi="Arial" w:cs="Arial"/>
          <w:b/>
          <w:sz w:val="28"/>
          <w:szCs w:val="28"/>
        </w:rPr>
      </w:pPr>
      <w:r w:rsidRPr="00BF6C31">
        <w:rPr>
          <w:rFonts w:ascii="Arial" w:hAnsi="Arial" w:cs="Arial"/>
          <w:b/>
          <w:sz w:val="28"/>
          <w:szCs w:val="28"/>
        </w:rPr>
        <w:t>Dorothy House Hospice C</w:t>
      </w:r>
      <w:r w:rsidR="00BF6C31">
        <w:rPr>
          <w:rFonts w:ascii="Arial" w:hAnsi="Arial" w:cs="Arial"/>
          <w:b/>
          <w:sz w:val="28"/>
          <w:szCs w:val="28"/>
        </w:rPr>
        <w:t xml:space="preserve">are:  Gender Pay Gap Report </w:t>
      </w:r>
    </w:p>
    <w:p w14:paraId="386FC11E" w14:textId="4208DC72" w:rsidR="00B0770E" w:rsidRPr="00BF6C31" w:rsidRDefault="00BE6C69" w:rsidP="00BF6C31">
      <w:pPr>
        <w:jc w:val="center"/>
        <w:rPr>
          <w:rFonts w:ascii="Arial" w:hAnsi="Arial" w:cs="Arial"/>
          <w:b/>
          <w:sz w:val="28"/>
          <w:szCs w:val="28"/>
        </w:rPr>
      </w:pPr>
      <w:r>
        <w:rPr>
          <w:rFonts w:ascii="Arial" w:hAnsi="Arial" w:cs="Arial"/>
          <w:b/>
          <w:sz w:val="28"/>
          <w:szCs w:val="28"/>
        </w:rPr>
        <w:t xml:space="preserve">(As </w:t>
      </w:r>
      <w:proofErr w:type="gramStart"/>
      <w:r>
        <w:rPr>
          <w:rFonts w:ascii="Arial" w:hAnsi="Arial" w:cs="Arial"/>
          <w:b/>
          <w:sz w:val="28"/>
          <w:szCs w:val="28"/>
        </w:rPr>
        <w:t>at</w:t>
      </w:r>
      <w:proofErr w:type="gramEnd"/>
      <w:r>
        <w:rPr>
          <w:rFonts w:ascii="Arial" w:hAnsi="Arial" w:cs="Arial"/>
          <w:b/>
          <w:sz w:val="28"/>
          <w:szCs w:val="28"/>
        </w:rPr>
        <w:t xml:space="preserve"> </w:t>
      </w:r>
      <w:r w:rsidR="00BF6C31">
        <w:rPr>
          <w:rFonts w:ascii="Arial" w:hAnsi="Arial" w:cs="Arial"/>
          <w:b/>
          <w:sz w:val="28"/>
          <w:szCs w:val="28"/>
        </w:rPr>
        <w:t xml:space="preserve">5 April </w:t>
      </w:r>
      <w:r w:rsidR="00153DB2">
        <w:rPr>
          <w:rFonts w:ascii="Arial" w:hAnsi="Arial" w:cs="Arial"/>
          <w:b/>
          <w:sz w:val="28"/>
          <w:szCs w:val="28"/>
        </w:rPr>
        <w:t>202</w:t>
      </w:r>
      <w:r w:rsidR="00116742">
        <w:rPr>
          <w:rFonts w:ascii="Arial" w:hAnsi="Arial" w:cs="Arial"/>
          <w:b/>
          <w:sz w:val="28"/>
          <w:szCs w:val="28"/>
        </w:rPr>
        <w:t>5</w:t>
      </w:r>
      <w:r w:rsidR="00153DB2">
        <w:rPr>
          <w:rFonts w:ascii="Arial" w:hAnsi="Arial" w:cs="Arial"/>
          <w:b/>
          <w:sz w:val="28"/>
          <w:szCs w:val="28"/>
        </w:rPr>
        <w:t>)</w:t>
      </w:r>
    </w:p>
    <w:p w14:paraId="325069E6" w14:textId="77777777" w:rsidR="00E60204" w:rsidRPr="003168B8" w:rsidRDefault="00E60204"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Introduction</w:t>
      </w:r>
    </w:p>
    <w:p w14:paraId="51FB79C4"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As an employer of more than 250 staff, Dorothy House Hospice Care undertakes annual Gender Pay Gap Reporting as required by the Equality Act 2010 (Gender Pay Gap Information) Regulations 2017.</w:t>
      </w:r>
    </w:p>
    <w:p w14:paraId="377B2C8B" w14:textId="77777777" w:rsidR="003168B8" w:rsidRPr="003168B8" w:rsidRDefault="003168B8" w:rsidP="003168B8">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Based on a snapshot of 5th April each year, we are required to calculate the following:</w:t>
      </w:r>
    </w:p>
    <w:p w14:paraId="0B68B042"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1. M</w:t>
      </w:r>
      <w:r w:rsidR="004A1CBF" w:rsidRPr="003168B8">
        <w:rPr>
          <w:rFonts w:ascii="Arial" w:eastAsia="Times New Roman" w:hAnsi="Arial" w:cs="Arial"/>
          <w:color w:val="222222"/>
          <w:lang w:eastAsia="en-GB"/>
        </w:rPr>
        <w:t>ean gender pay gap</w:t>
      </w:r>
    </w:p>
    <w:p w14:paraId="4A3E8CB2"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2. Median gender pay gap </w:t>
      </w:r>
    </w:p>
    <w:p w14:paraId="5CA875C2" w14:textId="77777777" w:rsidR="00E60204" w:rsidRDefault="004A1CBF"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3</w:t>
      </w:r>
      <w:r w:rsidR="00E60204" w:rsidRPr="003168B8">
        <w:rPr>
          <w:rFonts w:ascii="Arial" w:eastAsia="Times New Roman" w:hAnsi="Arial" w:cs="Arial"/>
          <w:color w:val="222222"/>
          <w:lang w:eastAsia="en-GB"/>
        </w:rPr>
        <w:t>. Proportion of males and females in each quartile</w:t>
      </w:r>
      <w:r w:rsidR="00BF6C31" w:rsidRPr="003168B8">
        <w:rPr>
          <w:rFonts w:ascii="Arial" w:eastAsia="Times New Roman" w:hAnsi="Arial" w:cs="Arial"/>
          <w:color w:val="222222"/>
          <w:lang w:eastAsia="en-GB"/>
        </w:rPr>
        <w:t xml:space="preserve"> pay</w:t>
      </w:r>
      <w:r w:rsidR="00E60204" w:rsidRPr="003168B8">
        <w:rPr>
          <w:rFonts w:ascii="Arial" w:eastAsia="Times New Roman" w:hAnsi="Arial" w:cs="Arial"/>
          <w:color w:val="222222"/>
          <w:lang w:eastAsia="en-GB"/>
        </w:rPr>
        <w:t xml:space="preserve"> band</w:t>
      </w:r>
    </w:p>
    <w:p w14:paraId="2F3A2447" w14:textId="66319793" w:rsidR="00702E02" w:rsidRPr="00702E02" w:rsidRDefault="00702E02" w:rsidP="00702E02">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4. </w:t>
      </w:r>
      <w:bookmarkStart w:id="0" w:name="_Hlk162537100"/>
      <w:r w:rsidRPr="00702E02">
        <w:rPr>
          <w:rFonts w:ascii="Arial" w:eastAsia="Times New Roman" w:hAnsi="Arial" w:cs="Arial"/>
          <w:color w:val="222222"/>
          <w:lang w:eastAsia="en-GB"/>
        </w:rPr>
        <w:t>Percentage of men and women who received bonus pay</w:t>
      </w:r>
      <w:bookmarkEnd w:id="0"/>
    </w:p>
    <w:p w14:paraId="548C2E1C" w14:textId="633693DF" w:rsidR="00702E02" w:rsidRDefault="00702E02"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5. </w:t>
      </w:r>
      <w:r w:rsidRPr="00702E02">
        <w:rPr>
          <w:rFonts w:ascii="Arial" w:eastAsia="Times New Roman" w:hAnsi="Arial" w:cs="Arial"/>
          <w:color w:val="222222"/>
          <w:lang w:eastAsia="en-GB"/>
        </w:rPr>
        <w:t>Mean and median gender pay gap using bonus pay</w:t>
      </w:r>
    </w:p>
    <w:p w14:paraId="575B61CB" w14:textId="77777777" w:rsidR="00702E02" w:rsidRPr="003168B8" w:rsidRDefault="00702E02" w:rsidP="00E60204">
      <w:pPr>
        <w:shd w:val="clear" w:color="auto" w:fill="FFFFFF"/>
        <w:spacing w:after="150" w:line="240" w:lineRule="auto"/>
        <w:rPr>
          <w:rFonts w:ascii="Arial" w:eastAsia="Times New Roman" w:hAnsi="Arial" w:cs="Arial"/>
          <w:color w:val="222222"/>
          <w:lang w:eastAsia="en-GB"/>
        </w:rPr>
      </w:pPr>
    </w:p>
    <w:p w14:paraId="45BA7F4C" w14:textId="4C037046" w:rsidR="0018448A" w:rsidRPr="003168B8" w:rsidRDefault="0018448A"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Gender Pay Gap Reports must be published within </w:t>
      </w:r>
      <w:r w:rsidR="00702E02">
        <w:rPr>
          <w:rFonts w:ascii="Arial" w:eastAsia="Times New Roman" w:hAnsi="Arial" w:cs="Arial"/>
          <w:color w:val="222222"/>
          <w:lang w:eastAsia="en-GB"/>
        </w:rPr>
        <w:t xml:space="preserve">a </w:t>
      </w:r>
      <w:r w:rsidRPr="003168B8">
        <w:rPr>
          <w:rFonts w:ascii="Arial" w:eastAsia="Times New Roman" w:hAnsi="Arial" w:cs="Arial"/>
          <w:color w:val="222222"/>
          <w:lang w:eastAsia="en-GB"/>
        </w:rPr>
        <w:t>year</w:t>
      </w:r>
      <w:r w:rsidR="00702E02">
        <w:rPr>
          <w:rFonts w:ascii="Arial" w:eastAsia="Times New Roman" w:hAnsi="Arial" w:cs="Arial"/>
          <w:color w:val="222222"/>
          <w:lang w:eastAsia="en-GB"/>
        </w:rPr>
        <w:t xml:space="preserve"> of the snapshot date</w:t>
      </w:r>
      <w:r w:rsidRPr="003168B8">
        <w:rPr>
          <w:rFonts w:ascii="Arial" w:eastAsia="Times New Roman" w:hAnsi="Arial" w:cs="Arial"/>
          <w:color w:val="222222"/>
          <w:lang w:eastAsia="en-GB"/>
        </w:rPr>
        <w:t xml:space="preserve">.  </w:t>
      </w:r>
    </w:p>
    <w:p w14:paraId="1EB26F10" w14:textId="77777777" w:rsidR="00E60204" w:rsidRPr="003168B8" w:rsidRDefault="00E60204" w:rsidP="00E60204">
      <w:pPr>
        <w:shd w:val="clear" w:color="auto" w:fill="FFFFFF"/>
        <w:spacing w:after="150" w:line="240" w:lineRule="auto"/>
        <w:rPr>
          <w:rFonts w:ascii="Arial" w:eastAsia="Times New Roman" w:hAnsi="Arial" w:cs="Arial"/>
          <w:color w:val="222222"/>
          <w:lang w:eastAsia="en-GB"/>
        </w:rPr>
      </w:pPr>
    </w:p>
    <w:p w14:paraId="3E5B743B" w14:textId="77777777" w:rsidR="00E60204" w:rsidRPr="003168B8" w:rsidRDefault="00E60204"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What is the mean and median gender pay gap?</w:t>
      </w:r>
    </w:p>
    <w:p w14:paraId="5586D6D8" w14:textId="77777777" w:rsidR="00E60204" w:rsidRPr="003168B8" w:rsidRDefault="00E60204"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color w:val="222222"/>
          <w:lang w:eastAsia="en-GB"/>
        </w:rPr>
        <w:t>The gender pay gap in an organisation is the difference in pay levels between male and female employees, irrespective of the position held, or type of contract of employment, and therefore includes workers on bank contracts</w:t>
      </w:r>
      <w:r w:rsidR="006627AC" w:rsidRPr="003168B8">
        <w:rPr>
          <w:rFonts w:ascii="Arial" w:eastAsia="Times New Roman" w:hAnsi="Arial" w:cs="Arial"/>
          <w:color w:val="222222"/>
          <w:lang w:eastAsia="en-GB"/>
        </w:rPr>
        <w:t xml:space="preserve">. </w:t>
      </w:r>
      <w:r w:rsidR="006627AC" w:rsidRPr="003168B8">
        <w:rPr>
          <w:rFonts w:ascii="Arial" w:eastAsia="Times New Roman" w:hAnsi="Arial" w:cs="Arial"/>
          <w:b/>
          <w:color w:val="222222"/>
          <w:lang w:eastAsia="en-GB"/>
        </w:rPr>
        <w:t xml:space="preserve">This is </w:t>
      </w:r>
      <w:r w:rsidR="006627AC" w:rsidRPr="003168B8">
        <w:rPr>
          <w:rFonts w:ascii="Arial" w:eastAsia="Times New Roman" w:hAnsi="Arial" w:cs="Arial"/>
          <w:b/>
          <w:color w:val="222222"/>
          <w:u w:val="single"/>
          <w:lang w:eastAsia="en-GB"/>
        </w:rPr>
        <w:t>not</w:t>
      </w:r>
      <w:r w:rsidR="006627AC" w:rsidRPr="003168B8">
        <w:rPr>
          <w:rFonts w:ascii="Arial" w:eastAsia="Times New Roman" w:hAnsi="Arial" w:cs="Arial"/>
          <w:b/>
          <w:color w:val="222222"/>
          <w:lang w:eastAsia="en-GB"/>
        </w:rPr>
        <w:t xml:space="preserve"> the same as equal pay </w:t>
      </w:r>
      <w:r w:rsidRPr="003168B8">
        <w:rPr>
          <w:rFonts w:ascii="Arial" w:eastAsia="Times New Roman" w:hAnsi="Arial" w:cs="Arial"/>
          <w:b/>
          <w:color w:val="222222"/>
          <w:lang w:eastAsia="en-GB"/>
        </w:rPr>
        <w:t>where companies are</w:t>
      </w:r>
      <w:r w:rsidR="00A25FB8" w:rsidRPr="003168B8">
        <w:rPr>
          <w:rFonts w:ascii="Arial" w:eastAsia="Times New Roman" w:hAnsi="Arial" w:cs="Arial"/>
          <w:b/>
          <w:color w:val="222222"/>
          <w:lang w:eastAsia="en-GB"/>
        </w:rPr>
        <w:t xml:space="preserve"> legally</w:t>
      </w:r>
      <w:r w:rsidRPr="003168B8">
        <w:rPr>
          <w:rFonts w:ascii="Arial" w:eastAsia="Times New Roman" w:hAnsi="Arial" w:cs="Arial"/>
          <w:b/>
          <w:color w:val="222222"/>
          <w:lang w:eastAsia="en-GB"/>
        </w:rPr>
        <w:t xml:space="preserve"> required</w:t>
      </w:r>
      <w:r w:rsidR="00A25FB8" w:rsidRPr="003168B8">
        <w:rPr>
          <w:rFonts w:ascii="Arial" w:eastAsia="Times New Roman" w:hAnsi="Arial" w:cs="Arial"/>
          <w:b/>
          <w:color w:val="222222"/>
          <w:lang w:eastAsia="en-GB"/>
        </w:rPr>
        <w:t xml:space="preserve"> </w:t>
      </w:r>
      <w:r w:rsidRPr="003168B8">
        <w:rPr>
          <w:rFonts w:ascii="Arial" w:eastAsia="Times New Roman" w:hAnsi="Arial" w:cs="Arial"/>
          <w:b/>
          <w:color w:val="222222"/>
          <w:lang w:eastAsia="en-GB"/>
        </w:rPr>
        <w:t>to ensure that men and women are paid the same for doing the same or similar roles. </w:t>
      </w:r>
    </w:p>
    <w:p w14:paraId="30ED0D63" w14:textId="77777777" w:rsidR="006627AC" w:rsidRPr="003168B8" w:rsidRDefault="00A25FB8" w:rsidP="006627AC">
      <w:pPr>
        <w:shd w:val="clear" w:color="auto" w:fill="FFFFFF"/>
        <w:spacing w:after="150" w:line="240" w:lineRule="auto"/>
        <w:rPr>
          <w:rFonts w:ascii="Arial" w:hAnsi="Arial" w:cs="Arial"/>
          <w:color w:val="121212"/>
        </w:rPr>
      </w:pPr>
      <w:r w:rsidRPr="003168B8">
        <w:rPr>
          <w:rFonts w:ascii="Arial" w:hAnsi="Arial" w:cs="Arial"/>
          <w:color w:val="121212"/>
        </w:rPr>
        <w:t xml:space="preserve">The </w:t>
      </w:r>
      <w:r w:rsidRPr="003168B8">
        <w:rPr>
          <w:rFonts w:ascii="Arial" w:hAnsi="Arial" w:cs="Arial"/>
          <w:b/>
          <w:color w:val="121212"/>
        </w:rPr>
        <w:t>mean</w:t>
      </w:r>
      <w:r w:rsidRPr="003168B8">
        <w:rPr>
          <w:rFonts w:ascii="Arial" w:hAnsi="Arial" w:cs="Arial"/>
          <w:color w:val="121212"/>
        </w:rPr>
        <w:t xml:space="preserve"> is calculated by adding up </w:t>
      </w:r>
      <w:proofErr w:type="gramStart"/>
      <w:r w:rsidRPr="003168B8">
        <w:rPr>
          <w:rFonts w:ascii="Arial" w:hAnsi="Arial" w:cs="Arial"/>
          <w:color w:val="121212"/>
        </w:rPr>
        <w:t>all of</w:t>
      </w:r>
      <w:proofErr w:type="gramEnd"/>
      <w:r w:rsidRPr="003168B8">
        <w:rPr>
          <w:rFonts w:ascii="Arial" w:hAnsi="Arial" w:cs="Arial"/>
          <w:color w:val="121212"/>
        </w:rPr>
        <w:t xml:space="preserve"> the</w:t>
      </w:r>
      <w:r w:rsidR="00BF6C31" w:rsidRPr="003168B8">
        <w:rPr>
          <w:rFonts w:ascii="Arial" w:hAnsi="Arial" w:cs="Arial"/>
          <w:color w:val="121212"/>
        </w:rPr>
        <w:t xml:space="preserve"> wages of employees in an organisation</w:t>
      </w:r>
      <w:r w:rsidRPr="003168B8">
        <w:rPr>
          <w:rFonts w:ascii="Arial" w:hAnsi="Arial" w:cs="Arial"/>
          <w:color w:val="121212"/>
        </w:rPr>
        <w:t xml:space="preserve"> and dividing that fig</w:t>
      </w:r>
      <w:r w:rsidR="006627AC" w:rsidRPr="003168B8">
        <w:rPr>
          <w:rFonts w:ascii="Arial" w:hAnsi="Arial" w:cs="Arial"/>
          <w:color w:val="121212"/>
        </w:rPr>
        <w:t xml:space="preserve">ure by the number of employees. </w:t>
      </w:r>
      <w:r w:rsidR="006627AC" w:rsidRPr="003168B8">
        <w:rPr>
          <w:rFonts w:ascii="Arial" w:eastAsia="Times New Roman" w:hAnsi="Arial" w:cs="Arial"/>
          <w:color w:val="222222"/>
          <w:lang w:eastAsia="en-GB"/>
        </w:rPr>
        <w:t xml:space="preserve">The mean (or average) gender </w:t>
      </w:r>
      <w:proofErr w:type="gramStart"/>
      <w:r w:rsidR="006627AC" w:rsidRPr="003168B8">
        <w:rPr>
          <w:rFonts w:ascii="Arial" w:eastAsia="Times New Roman" w:hAnsi="Arial" w:cs="Arial"/>
          <w:color w:val="222222"/>
          <w:lang w:eastAsia="en-GB"/>
        </w:rPr>
        <w:t>pay</w:t>
      </w:r>
      <w:proofErr w:type="gramEnd"/>
      <w:r w:rsidR="006627AC" w:rsidRPr="003168B8">
        <w:rPr>
          <w:rFonts w:ascii="Arial" w:eastAsia="Times New Roman" w:hAnsi="Arial" w:cs="Arial"/>
          <w:color w:val="222222"/>
          <w:lang w:eastAsia="en-GB"/>
        </w:rPr>
        <w:t xml:space="preserve"> gap shows the difference in hourly pay of male pay </w:t>
      </w:r>
      <w:r w:rsidR="006627AC" w:rsidRPr="003168B8">
        <w:rPr>
          <w:rFonts w:ascii="Arial" w:eastAsia="Times New Roman" w:hAnsi="Arial" w:cs="Arial"/>
          <w:color w:val="222222"/>
          <w:u w:val="single"/>
          <w:lang w:eastAsia="en-GB"/>
        </w:rPr>
        <w:t>over</w:t>
      </w:r>
      <w:r w:rsidR="006627AC" w:rsidRPr="003168B8">
        <w:rPr>
          <w:rFonts w:ascii="Arial" w:eastAsia="Times New Roman" w:hAnsi="Arial" w:cs="Arial"/>
          <w:color w:val="222222"/>
          <w:lang w:eastAsia="en-GB"/>
        </w:rPr>
        <w:t xml:space="preserve"> female pay as either a positive or a negative figure. </w:t>
      </w:r>
    </w:p>
    <w:p w14:paraId="11275E8B" w14:textId="77777777" w:rsidR="006627AC" w:rsidRPr="003168B8" w:rsidRDefault="00A25FB8" w:rsidP="006627AC">
      <w:pPr>
        <w:shd w:val="clear" w:color="auto" w:fill="FFFFFF"/>
        <w:spacing w:after="150" w:line="240" w:lineRule="auto"/>
        <w:rPr>
          <w:rFonts w:ascii="Arial" w:eastAsia="Times New Roman" w:hAnsi="Arial" w:cs="Arial"/>
          <w:color w:val="222222"/>
          <w:lang w:eastAsia="en-GB"/>
        </w:rPr>
      </w:pPr>
      <w:r w:rsidRPr="003168B8">
        <w:rPr>
          <w:rFonts w:ascii="Arial" w:hAnsi="Arial" w:cs="Arial"/>
          <w:color w:val="121212"/>
        </w:rPr>
        <w:t xml:space="preserve">The </w:t>
      </w:r>
      <w:r w:rsidRPr="003168B8">
        <w:rPr>
          <w:rFonts w:ascii="Arial" w:hAnsi="Arial" w:cs="Arial"/>
          <w:b/>
          <w:color w:val="121212"/>
        </w:rPr>
        <w:t>median</w:t>
      </w:r>
      <w:r w:rsidRPr="003168B8">
        <w:rPr>
          <w:rFonts w:ascii="Arial" w:hAnsi="Arial" w:cs="Arial"/>
          <w:color w:val="121212"/>
        </w:rPr>
        <w:t xml:space="preserve"> is the number that falls in the middle of a range when everyone’s wages are lined up from smallest to largest and is more rep</w:t>
      </w:r>
      <w:r w:rsidR="00BF6C31" w:rsidRPr="003168B8">
        <w:rPr>
          <w:rFonts w:ascii="Arial" w:hAnsi="Arial" w:cs="Arial"/>
          <w:color w:val="121212"/>
        </w:rPr>
        <w:t xml:space="preserve">resentative when there is significant </w:t>
      </w:r>
      <w:r w:rsidRPr="003168B8">
        <w:rPr>
          <w:rFonts w:ascii="Arial" w:hAnsi="Arial" w:cs="Arial"/>
          <w:color w:val="121212"/>
        </w:rPr>
        <w:t>variation in pay.</w:t>
      </w:r>
      <w:r w:rsidR="006627AC" w:rsidRPr="003168B8">
        <w:rPr>
          <w:rFonts w:ascii="Arial" w:eastAsia="Times New Roman" w:hAnsi="Arial" w:cs="Arial"/>
          <w:color w:val="222222"/>
          <w:lang w:eastAsia="en-GB"/>
        </w:rPr>
        <w:t xml:space="preserve"> The median </w:t>
      </w:r>
      <w:r w:rsidR="00BF6C31" w:rsidRPr="003168B8">
        <w:rPr>
          <w:rFonts w:ascii="Arial" w:eastAsia="Times New Roman" w:hAnsi="Arial" w:cs="Arial"/>
          <w:color w:val="222222"/>
          <w:lang w:eastAsia="en-GB"/>
        </w:rPr>
        <w:t>(</w:t>
      </w:r>
      <w:r w:rsidR="006627AC" w:rsidRPr="003168B8">
        <w:rPr>
          <w:rFonts w:ascii="Arial" w:eastAsia="Times New Roman" w:hAnsi="Arial" w:cs="Arial"/>
          <w:color w:val="222222"/>
          <w:lang w:eastAsia="en-GB"/>
        </w:rPr>
        <w:t>or middle</w:t>
      </w:r>
      <w:r w:rsidR="00BF6C31" w:rsidRPr="003168B8">
        <w:rPr>
          <w:rFonts w:ascii="Arial" w:eastAsia="Times New Roman" w:hAnsi="Arial" w:cs="Arial"/>
          <w:color w:val="222222"/>
          <w:lang w:eastAsia="en-GB"/>
        </w:rPr>
        <w:t>)</w:t>
      </w:r>
      <w:r w:rsidR="006627AC" w:rsidRPr="003168B8">
        <w:rPr>
          <w:rFonts w:ascii="Arial" w:eastAsia="Times New Roman" w:hAnsi="Arial" w:cs="Arial"/>
          <w:color w:val="222222"/>
          <w:lang w:eastAsia="en-GB"/>
        </w:rPr>
        <w:t xml:space="preserve"> gender </w:t>
      </w:r>
      <w:proofErr w:type="gramStart"/>
      <w:r w:rsidR="006627AC" w:rsidRPr="003168B8">
        <w:rPr>
          <w:rFonts w:ascii="Arial" w:eastAsia="Times New Roman" w:hAnsi="Arial" w:cs="Arial"/>
          <w:color w:val="222222"/>
          <w:lang w:eastAsia="en-GB"/>
        </w:rPr>
        <w:t>pay</w:t>
      </w:r>
      <w:proofErr w:type="gramEnd"/>
      <w:r w:rsidR="006627AC" w:rsidRPr="003168B8">
        <w:rPr>
          <w:rFonts w:ascii="Arial" w:eastAsia="Times New Roman" w:hAnsi="Arial" w:cs="Arial"/>
          <w:color w:val="222222"/>
          <w:lang w:eastAsia="en-GB"/>
        </w:rPr>
        <w:t xml:space="preserve"> gap shows the difference of hourly male pay </w:t>
      </w:r>
      <w:r w:rsidR="006627AC" w:rsidRPr="003168B8">
        <w:rPr>
          <w:rFonts w:ascii="Arial" w:eastAsia="Times New Roman" w:hAnsi="Arial" w:cs="Arial"/>
          <w:color w:val="222222"/>
          <w:u w:val="single"/>
          <w:lang w:eastAsia="en-GB"/>
        </w:rPr>
        <w:t>over</w:t>
      </w:r>
      <w:r w:rsidR="006627AC" w:rsidRPr="003168B8">
        <w:rPr>
          <w:rFonts w:ascii="Arial" w:eastAsia="Times New Roman" w:hAnsi="Arial" w:cs="Arial"/>
          <w:color w:val="222222"/>
          <w:lang w:eastAsia="en-GB"/>
        </w:rPr>
        <w:t xml:space="preserve"> female pay as either a positive or negative figure.  </w:t>
      </w:r>
    </w:p>
    <w:p w14:paraId="2E62AA3A" w14:textId="77777777" w:rsidR="006627AC" w:rsidRPr="003168B8" w:rsidRDefault="006627AC" w:rsidP="006627AC">
      <w:pPr>
        <w:shd w:val="clear" w:color="auto" w:fill="FFFFFF"/>
        <w:spacing w:after="150" w:line="240" w:lineRule="auto"/>
        <w:rPr>
          <w:rFonts w:ascii="Arial" w:hAnsi="Arial" w:cs="Arial"/>
          <w:color w:val="121212"/>
        </w:rPr>
      </w:pPr>
      <w:r w:rsidRPr="003168B8">
        <w:rPr>
          <w:rFonts w:ascii="Arial" w:hAnsi="Arial" w:cs="Arial"/>
          <w:color w:val="121212"/>
        </w:rPr>
        <w:t xml:space="preserve">When talking about the gender pay gap people tend to talk more about the median figure rather than the mean which can be skewed by a small number of highly paid individuals. </w:t>
      </w:r>
    </w:p>
    <w:p w14:paraId="1A294199" w14:textId="77777777" w:rsidR="003168B8" w:rsidRPr="003168B8" w:rsidRDefault="003168B8" w:rsidP="00E60204">
      <w:pPr>
        <w:shd w:val="clear" w:color="auto" w:fill="FFFFFF"/>
        <w:spacing w:after="150" w:line="240" w:lineRule="auto"/>
        <w:rPr>
          <w:rFonts w:ascii="Arial" w:eastAsia="Times New Roman" w:hAnsi="Arial" w:cs="Arial"/>
          <w:b/>
          <w:color w:val="222222"/>
          <w:u w:val="single"/>
          <w:lang w:eastAsia="en-GB"/>
        </w:rPr>
      </w:pPr>
    </w:p>
    <w:p w14:paraId="27EE648C" w14:textId="77777777" w:rsidR="00CC7DE1" w:rsidRDefault="00CC7DE1">
      <w:pPr>
        <w:rPr>
          <w:rFonts w:ascii="Arial" w:eastAsia="Times New Roman" w:hAnsi="Arial" w:cs="Arial"/>
          <w:b/>
          <w:color w:val="222222"/>
          <w:u w:val="single"/>
          <w:lang w:eastAsia="en-GB"/>
        </w:rPr>
      </w:pPr>
      <w:r>
        <w:rPr>
          <w:rFonts w:ascii="Arial" w:eastAsia="Times New Roman" w:hAnsi="Arial" w:cs="Arial"/>
          <w:b/>
          <w:color w:val="222222"/>
          <w:u w:val="single"/>
          <w:lang w:eastAsia="en-GB"/>
        </w:rPr>
        <w:br w:type="page"/>
      </w:r>
    </w:p>
    <w:p w14:paraId="3BC64BD8" w14:textId="144B4DA5" w:rsidR="0018448A" w:rsidRPr="003168B8" w:rsidRDefault="0018448A" w:rsidP="00E60204">
      <w:pPr>
        <w:shd w:val="clear" w:color="auto" w:fill="FFFFFF"/>
        <w:spacing w:after="150" w:line="240" w:lineRule="auto"/>
        <w:rPr>
          <w:rFonts w:ascii="Arial" w:eastAsia="Times New Roman" w:hAnsi="Arial" w:cs="Arial"/>
          <w:b/>
          <w:color w:val="222222"/>
          <w:u w:val="single"/>
          <w:lang w:eastAsia="en-GB"/>
        </w:rPr>
      </w:pPr>
      <w:r w:rsidRPr="003168B8">
        <w:rPr>
          <w:rFonts w:ascii="Arial" w:eastAsia="Times New Roman" w:hAnsi="Arial" w:cs="Arial"/>
          <w:b/>
          <w:color w:val="222222"/>
          <w:u w:val="single"/>
          <w:lang w:eastAsia="en-GB"/>
        </w:rPr>
        <w:lastRenderedPageBreak/>
        <w:t>Findings</w:t>
      </w:r>
    </w:p>
    <w:p w14:paraId="353F82D0" w14:textId="77777777" w:rsidR="00DA2F81" w:rsidRDefault="00DA2F81" w:rsidP="00E60204">
      <w:pPr>
        <w:shd w:val="clear" w:color="auto" w:fill="FFFFFF"/>
        <w:spacing w:after="150" w:line="240" w:lineRule="auto"/>
        <w:rPr>
          <w:rFonts w:ascii="Arial" w:eastAsia="Times New Roman" w:hAnsi="Arial" w:cs="Arial"/>
          <w:b/>
          <w:color w:val="222222"/>
          <w:lang w:eastAsia="en-GB"/>
        </w:rPr>
      </w:pPr>
    </w:p>
    <w:p w14:paraId="3F855FCD" w14:textId="38815B0D" w:rsidR="00DA2F81" w:rsidRPr="003168B8" w:rsidRDefault="00DA2F81" w:rsidP="00DA2F81">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Dorothy House Median Gender Pay Gap, 5 April 20</w:t>
      </w:r>
      <w:r>
        <w:rPr>
          <w:rFonts w:ascii="Arial" w:eastAsia="Times New Roman" w:hAnsi="Arial" w:cs="Arial"/>
          <w:b/>
          <w:color w:val="222222"/>
          <w:lang w:eastAsia="en-GB"/>
        </w:rPr>
        <w:t>2</w:t>
      </w:r>
      <w:r w:rsidR="00D426DA">
        <w:rPr>
          <w:rFonts w:ascii="Arial" w:eastAsia="Times New Roman" w:hAnsi="Arial" w:cs="Arial"/>
          <w:b/>
          <w:color w:val="222222"/>
          <w:lang w:eastAsia="en-GB"/>
        </w:rPr>
        <w:t>5</w:t>
      </w:r>
      <w:r w:rsidRPr="003168B8">
        <w:rPr>
          <w:rFonts w:ascii="Arial" w:eastAsia="Times New Roman" w:hAnsi="Arial" w:cs="Arial"/>
          <w:b/>
          <w:color w:val="222222"/>
          <w:lang w:eastAsia="en-GB"/>
        </w:rPr>
        <w:t>: -</w:t>
      </w:r>
      <w:r w:rsidR="00D426DA">
        <w:rPr>
          <w:rFonts w:ascii="Arial" w:eastAsia="Times New Roman" w:hAnsi="Arial" w:cs="Arial"/>
          <w:b/>
          <w:color w:val="222222"/>
          <w:lang w:eastAsia="en-GB"/>
        </w:rPr>
        <w:t>17</w:t>
      </w:r>
      <w:r>
        <w:rPr>
          <w:rFonts w:ascii="Arial" w:eastAsia="Times New Roman" w:hAnsi="Arial" w:cs="Arial"/>
          <w:b/>
          <w:color w:val="222222"/>
          <w:lang w:eastAsia="en-GB"/>
        </w:rPr>
        <w:t>.</w:t>
      </w:r>
      <w:r w:rsidR="00D426DA">
        <w:rPr>
          <w:rFonts w:ascii="Arial" w:eastAsia="Times New Roman" w:hAnsi="Arial" w:cs="Arial"/>
          <w:b/>
          <w:color w:val="222222"/>
          <w:lang w:eastAsia="en-GB"/>
        </w:rPr>
        <w:t>7</w:t>
      </w:r>
      <w:r w:rsidRPr="003168B8">
        <w:rPr>
          <w:rFonts w:ascii="Arial" w:eastAsia="Times New Roman" w:hAnsi="Arial" w:cs="Arial"/>
          <w:b/>
          <w:color w:val="222222"/>
          <w:lang w:eastAsia="en-GB"/>
        </w:rPr>
        <w:t>%</w:t>
      </w:r>
    </w:p>
    <w:p w14:paraId="7AB90400" w14:textId="6A49AEBC" w:rsidR="00DA2F81" w:rsidRPr="003168B8" w:rsidRDefault="00DA2F81" w:rsidP="00DA2F81">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This means that based on an hourly rate, we pay women in the middle of the pay scales </w:t>
      </w:r>
      <w:r w:rsidR="00D426DA">
        <w:rPr>
          <w:rFonts w:ascii="Arial" w:eastAsia="Times New Roman" w:hAnsi="Arial" w:cs="Arial"/>
          <w:color w:val="222222"/>
          <w:lang w:eastAsia="en-GB"/>
        </w:rPr>
        <w:t>17</w:t>
      </w:r>
      <w:r>
        <w:rPr>
          <w:rFonts w:ascii="Arial" w:eastAsia="Times New Roman" w:hAnsi="Arial" w:cs="Arial"/>
          <w:color w:val="222222"/>
          <w:lang w:eastAsia="en-GB"/>
        </w:rPr>
        <w:t>.</w:t>
      </w:r>
      <w:r w:rsidR="00D426DA">
        <w:rPr>
          <w:rFonts w:ascii="Arial" w:eastAsia="Times New Roman" w:hAnsi="Arial" w:cs="Arial"/>
          <w:color w:val="222222"/>
          <w:lang w:eastAsia="en-GB"/>
        </w:rPr>
        <w:t>7</w:t>
      </w:r>
      <w:r w:rsidRPr="003168B8">
        <w:rPr>
          <w:rFonts w:ascii="Arial" w:eastAsia="Times New Roman" w:hAnsi="Arial" w:cs="Arial"/>
          <w:color w:val="222222"/>
          <w:lang w:eastAsia="en-GB"/>
        </w:rPr>
        <w:t>% more than men</w:t>
      </w:r>
      <w:r w:rsidR="001B6BF6">
        <w:rPr>
          <w:rFonts w:ascii="Arial" w:eastAsia="Times New Roman" w:hAnsi="Arial" w:cs="Arial"/>
          <w:color w:val="222222"/>
          <w:lang w:eastAsia="en-GB"/>
        </w:rPr>
        <w:t>.</w:t>
      </w:r>
    </w:p>
    <w:p w14:paraId="3036C08B" w14:textId="77777777" w:rsidR="00DA2F81" w:rsidRDefault="00DA2F81" w:rsidP="00E60204">
      <w:pPr>
        <w:shd w:val="clear" w:color="auto" w:fill="FFFFFF"/>
        <w:spacing w:after="150" w:line="240" w:lineRule="auto"/>
        <w:rPr>
          <w:rFonts w:ascii="Arial" w:eastAsia="Times New Roman" w:hAnsi="Arial" w:cs="Arial"/>
          <w:b/>
          <w:color w:val="222222"/>
          <w:lang w:eastAsia="en-GB"/>
        </w:rPr>
      </w:pPr>
    </w:p>
    <w:p w14:paraId="41587F53" w14:textId="223C8523" w:rsidR="0018448A" w:rsidRPr="003168B8" w:rsidRDefault="0018448A"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Dorothy House Mean Gender Pay Gap</w:t>
      </w:r>
      <w:r w:rsidR="00E22C3B" w:rsidRPr="003168B8">
        <w:rPr>
          <w:rFonts w:ascii="Arial" w:eastAsia="Times New Roman" w:hAnsi="Arial" w:cs="Arial"/>
          <w:b/>
          <w:color w:val="222222"/>
          <w:lang w:eastAsia="en-GB"/>
        </w:rPr>
        <w:t xml:space="preserve">, </w:t>
      </w:r>
      <w:r w:rsidRPr="003168B8">
        <w:rPr>
          <w:rFonts w:ascii="Arial" w:eastAsia="Times New Roman" w:hAnsi="Arial" w:cs="Arial"/>
          <w:b/>
          <w:color w:val="222222"/>
          <w:lang w:eastAsia="en-GB"/>
        </w:rPr>
        <w:t>5 April 20</w:t>
      </w:r>
      <w:r w:rsidR="00153DB2">
        <w:rPr>
          <w:rFonts w:ascii="Arial" w:eastAsia="Times New Roman" w:hAnsi="Arial" w:cs="Arial"/>
          <w:b/>
          <w:color w:val="222222"/>
          <w:lang w:eastAsia="en-GB"/>
        </w:rPr>
        <w:t>2</w:t>
      </w:r>
      <w:r w:rsidR="002A66A0">
        <w:rPr>
          <w:rFonts w:ascii="Arial" w:eastAsia="Times New Roman" w:hAnsi="Arial" w:cs="Arial"/>
          <w:b/>
          <w:color w:val="222222"/>
          <w:lang w:eastAsia="en-GB"/>
        </w:rPr>
        <w:t>5</w:t>
      </w:r>
      <w:r w:rsidRPr="003168B8">
        <w:rPr>
          <w:rFonts w:ascii="Arial" w:eastAsia="Times New Roman" w:hAnsi="Arial" w:cs="Arial"/>
          <w:b/>
          <w:color w:val="222222"/>
          <w:lang w:eastAsia="en-GB"/>
        </w:rPr>
        <w:t xml:space="preserve">: </w:t>
      </w:r>
      <w:r w:rsidR="001B2138">
        <w:rPr>
          <w:rFonts w:ascii="Arial" w:eastAsia="Times New Roman" w:hAnsi="Arial" w:cs="Arial"/>
          <w:b/>
          <w:color w:val="222222"/>
          <w:lang w:eastAsia="en-GB"/>
        </w:rPr>
        <w:t>-1.5</w:t>
      </w:r>
      <w:r w:rsidRPr="003168B8">
        <w:rPr>
          <w:rFonts w:ascii="Arial" w:eastAsia="Times New Roman" w:hAnsi="Arial" w:cs="Arial"/>
          <w:b/>
          <w:color w:val="222222"/>
          <w:lang w:eastAsia="en-GB"/>
        </w:rPr>
        <w:t>%</w:t>
      </w:r>
    </w:p>
    <w:p w14:paraId="7B197588" w14:textId="23791E2A" w:rsidR="0018448A" w:rsidRPr="003168B8" w:rsidRDefault="0018448A"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This means that</w:t>
      </w:r>
      <w:r w:rsidR="00E22C3B" w:rsidRPr="003168B8">
        <w:rPr>
          <w:rFonts w:ascii="Arial" w:eastAsia="Times New Roman" w:hAnsi="Arial" w:cs="Arial"/>
          <w:color w:val="222222"/>
          <w:lang w:eastAsia="en-GB"/>
        </w:rPr>
        <w:t xml:space="preserve"> based</w:t>
      </w:r>
      <w:r w:rsidRPr="003168B8">
        <w:rPr>
          <w:rFonts w:ascii="Arial" w:eastAsia="Times New Roman" w:hAnsi="Arial" w:cs="Arial"/>
          <w:color w:val="222222"/>
          <w:lang w:eastAsia="en-GB"/>
        </w:rPr>
        <w:t xml:space="preserve"> on an hourly rate, we pay </w:t>
      </w:r>
      <w:r w:rsidR="001B2138">
        <w:rPr>
          <w:rFonts w:ascii="Arial" w:eastAsia="Times New Roman" w:hAnsi="Arial" w:cs="Arial"/>
          <w:color w:val="222222"/>
          <w:lang w:eastAsia="en-GB"/>
        </w:rPr>
        <w:t>wo</w:t>
      </w:r>
      <w:r w:rsidR="000F221F">
        <w:rPr>
          <w:rFonts w:ascii="Arial" w:eastAsia="Times New Roman" w:hAnsi="Arial" w:cs="Arial"/>
          <w:color w:val="222222"/>
          <w:lang w:eastAsia="en-GB"/>
        </w:rPr>
        <w:t xml:space="preserve">men </w:t>
      </w:r>
      <w:r w:rsidRPr="003168B8">
        <w:rPr>
          <w:rFonts w:ascii="Arial" w:eastAsia="Times New Roman" w:hAnsi="Arial" w:cs="Arial"/>
          <w:color w:val="222222"/>
          <w:lang w:eastAsia="en-GB"/>
        </w:rPr>
        <w:t xml:space="preserve">an average of </w:t>
      </w:r>
      <w:r w:rsidR="001B2138">
        <w:rPr>
          <w:rFonts w:ascii="Arial" w:eastAsia="Times New Roman" w:hAnsi="Arial" w:cs="Arial"/>
          <w:color w:val="222222"/>
          <w:lang w:eastAsia="en-GB"/>
        </w:rPr>
        <w:t>1</w:t>
      </w:r>
      <w:r w:rsidR="000F221F">
        <w:rPr>
          <w:rFonts w:ascii="Arial" w:eastAsia="Times New Roman" w:hAnsi="Arial" w:cs="Arial"/>
          <w:color w:val="222222"/>
          <w:lang w:eastAsia="en-GB"/>
        </w:rPr>
        <w:t>.</w:t>
      </w:r>
      <w:r w:rsidR="001B2138">
        <w:rPr>
          <w:rFonts w:ascii="Arial" w:eastAsia="Times New Roman" w:hAnsi="Arial" w:cs="Arial"/>
          <w:color w:val="222222"/>
          <w:lang w:eastAsia="en-GB"/>
        </w:rPr>
        <w:t>5</w:t>
      </w:r>
      <w:r w:rsidRPr="003168B8">
        <w:rPr>
          <w:rFonts w:ascii="Arial" w:eastAsia="Times New Roman" w:hAnsi="Arial" w:cs="Arial"/>
          <w:color w:val="222222"/>
          <w:lang w:eastAsia="en-GB"/>
        </w:rPr>
        <w:t xml:space="preserve">% </w:t>
      </w:r>
      <w:r w:rsidR="00702E02">
        <w:rPr>
          <w:rFonts w:ascii="Arial" w:eastAsia="Times New Roman" w:hAnsi="Arial" w:cs="Arial"/>
          <w:color w:val="222222"/>
          <w:lang w:eastAsia="en-GB"/>
        </w:rPr>
        <w:t>more</w:t>
      </w:r>
      <w:r w:rsidR="003240D1" w:rsidRPr="003168B8">
        <w:rPr>
          <w:rFonts w:ascii="Arial" w:eastAsia="Times New Roman" w:hAnsi="Arial" w:cs="Arial"/>
          <w:color w:val="222222"/>
          <w:lang w:eastAsia="en-GB"/>
        </w:rPr>
        <w:t xml:space="preserve"> </w:t>
      </w:r>
      <w:r w:rsidRPr="003168B8">
        <w:rPr>
          <w:rFonts w:ascii="Arial" w:eastAsia="Times New Roman" w:hAnsi="Arial" w:cs="Arial"/>
          <w:color w:val="222222"/>
          <w:lang w:eastAsia="en-GB"/>
        </w:rPr>
        <w:t>than men.</w:t>
      </w:r>
    </w:p>
    <w:p w14:paraId="501E2F7D" w14:textId="77777777" w:rsidR="00BF6C31" w:rsidRPr="003168B8" w:rsidRDefault="00BF6C31" w:rsidP="00E22C3B">
      <w:pPr>
        <w:shd w:val="clear" w:color="auto" w:fill="FFFFFF"/>
        <w:spacing w:after="150" w:line="240" w:lineRule="auto"/>
        <w:rPr>
          <w:rFonts w:ascii="Arial" w:eastAsia="Times New Roman" w:hAnsi="Arial" w:cs="Arial"/>
          <w:color w:val="222222"/>
          <w:lang w:eastAsia="en-GB"/>
        </w:rPr>
      </w:pPr>
    </w:p>
    <w:p w14:paraId="31109EA9" w14:textId="77777777" w:rsidR="00E22C3B" w:rsidRPr="003168B8" w:rsidRDefault="00E22C3B"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Proportion of males and females in each quartile band</w:t>
      </w:r>
    </w:p>
    <w:p w14:paraId="65A38179" w14:textId="77777777" w:rsidR="00A25FB8" w:rsidRPr="003168B8" w:rsidRDefault="00A25FB8" w:rsidP="00A25FB8">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Quartiles are the division of the total workforce into four equal sections or pay bands.</w:t>
      </w:r>
    </w:p>
    <w:p w14:paraId="4CAAF51E" w14:textId="13C7AB71" w:rsidR="00E22C3B" w:rsidRPr="003168B8" w:rsidRDefault="00B91EB7"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As </w:t>
      </w:r>
      <w:proofErr w:type="gramStart"/>
      <w:r w:rsidRPr="003168B8">
        <w:rPr>
          <w:rFonts w:ascii="Arial" w:eastAsia="Times New Roman" w:hAnsi="Arial" w:cs="Arial"/>
          <w:color w:val="222222"/>
          <w:lang w:eastAsia="en-GB"/>
        </w:rPr>
        <w:t>at</w:t>
      </w:r>
      <w:proofErr w:type="gramEnd"/>
      <w:r w:rsidRPr="003168B8">
        <w:rPr>
          <w:rFonts w:ascii="Arial" w:eastAsia="Times New Roman" w:hAnsi="Arial" w:cs="Arial"/>
          <w:color w:val="222222"/>
          <w:lang w:eastAsia="en-GB"/>
        </w:rPr>
        <w:t xml:space="preserve"> 5 April 20</w:t>
      </w:r>
      <w:r w:rsidR="00153DB2">
        <w:rPr>
          <w:rFonts w:ascii="Arial" w:eastAsia="Times New Roman" w:hAnsi="Arial" w:cs="Arial"/>
          <w:color w:val="222222"/>
          <w:lang w:eastAsia="en-GB"/>
        </w:rPr>
        <w:t>2</w:t>
      </w:r>
      <w:r w:rsidR="007F39E8">
        <w:rPr>
          <w:rFonts w:ascii="Arial" w:eastAsia="Times New Roman" w:hAnsi="Arial" w:cs="Arial"/>
          <w:color w:val="222222"/>
          <w:lang w:eastAsia="en-GB"/>
        </w:rPr>
        <w:t>5</w:t>
      </w:r>
      <w:r w:rsidRPr="003168B8">
        <w:rPr>
          <w:rFonts w:ascii="Arial" w:eastAsia="Times New Roman" w:hAnsi="Arial" w:cs="Arial"/>
          <w:color w:val="222222"/>
          <w:lang w:eastAsia="en-GB"/>
        </w:rPr>
        <w:t xml:space="preserve">, </w:t>
      </w:r>
      <w:r w:rsidR="00E22C3B" w:rsidRPr="003168B8">
        <w:rPr>
          <w:rFonts w:ascii="Arial" w:eastAsia="Times New Roman" w:hAnsi="Arial" w:cs="Arial"/>
          <w:color w:val="222222"/>
          <w:lang w:eastAsia="en-GB"/>
        </w:rPr>
        <w:t>Dorothy House’</w:t>
      </w:r>
      <w:r w:rsidRPr="003168B8">
        <w:rPr>
          <w:rFonts w:ascii="Arial" w:eastAsia="Times New Roman" w:hAnsi="Arial" w:cs="Arial"/>
          <w:color w:val="222222"/>
          <w:lang w:eastAsia="en-GB"/>
        </w:rPr>
        <w:t>s workforce was</w:t>
      </w:r>
      <w:r w:rsidR="00E22C3B" w:rsidRPr="003168B8">
        <w:rPr>
          <w:rFonts w:ascii="Arial" w:eastAsia="Times New Roman" w:hAnsi="Arial" w:cs="Arial"/>
          <w:color w:val="222222"/>
          <w:lang w:eastAsia="en-GB"/>
        </w:rPr>
        <w:t xml:space="preserve"> </w:t>
      </w:r>
      <w:r w:rsidR="008E151D" w:rsidRPr="003168B8">
        <w:rPr>
          <w:rFonts w:ascii="Arial" w:eastAsia="Times New Roman" w:hAnsi="Arial" w:cs="Arial"/>
          <w:color w:val="222222"/>
          <w:lang w:eastAsia="en-GB"/>
        </w:rPr>
        <w:t>8</w:t>
      </w:r>
      <w:r w:rsidR="00241D80">
        <w:rPr>
          <w:rFonts w:ascii="Arial" w:eastAsia="Times New Roman" w:hAnsi="Arial" w:cs="Arial"/>
          <w:color w:val="222222"/>
          <w:lang w:eastAsia="en-GB"/>
        </w:rPr>
        <w:t>0</w:t>
      </w:r>
      <w:r w:rsidR="008E151D" w:rsidRPr="003168B8">
        <w:rPr>
          <w:rFonts w:ascii="Arial" w:eastAsia="Times New Roman" w:hAnsi="Arial" w:cs="Arial"/>
          <w:color w:val="222222"/>
          <w:lang w:eastAsia="en-GB"/>
        </w:rPr>
        <w:t>% fem</w:t>
      </w:r>
      <w:r w:rsidRPr="003168B8">
        <w:rPr>
          <w:rFonts w:ascii="Arial" w:eastAsia="Times New Roman" w:hAnsi="Arial" w:cs="Arial"/>
          <w:color w:val="222222"/>
          <w:lang w:eastAsia="en-GB"/>
        </w:rPr>
        <w:t>ale</w:t>
      </w:r>
      <w:r w:rsidR="007835B0">
        <w:rPr>
          <w:rFonts w:ascii="Arial" w:eastAsia="Times New Roman" w:hAnsi="Arial" w:cs="Arial"/>
          <w:color w:val="222222"/>
          <w:lang w:eastAsia="en-GB"/>
        </w:rPr>
        <w:t xml:space="preserve">, slightly reduced from </w:t>
      </w:r>
      <w:r w:rsidR="00153DB2" w:rsidRPr="003168B8">
        <w:rPr>
          <w:rFonts w:ascii="Arial" w:eastAsia="Times New Roman" w:hAnsi="Arial" w:cs="Arial"/>
          <w:color w:val="222222"/>
          <w:lang w:eastAsia="en-GB"/>
        </w:rPr>
        <w:t>8</w:t>
      </w:r>
      <w:r w:rsidR="001A347C">
        <w:rPr>
          <w:rFonts w:ascii="Arial" w:eastAsia="Times New Roman" w:hAnsi="Arial" w:cs="Arial"/>
          <w:color w:val="222222"/>
          <w:lang w:eastAsia="en-GB"/>
        </w:rPr>
        <w:t>3</w:t>
      </w:r>
      <w:r w:rsidRPr="003168B8">
        <w:rPr>
          <w:rFonts w:ascii="Arial" w:eastAsia="Times New Roman" w:hAnsi="Arial" w:cs="Arial"/>
          <w:color w:val="222222"/>
          <w:lang w:eastAsia="en-GB"/>
        </w:rPr>
        <w:t>%</w:t>
      </w:r>
      <w:r w:rsidR="007835B0">
        <w:rPr>
          <w:rFonts w:ascii="Arial" w:eastAsia="Times New Roman" w:hAnsi="Arial" w:cs="Arial"/>
          <w:color w:val="222222"/>
          <w:lang w:eastAsia="en-GB"/>
        </w:rPr>
        <w:t xml:space="preserve"> in 2024</w:t>
      </w:r>
      <w:r w:rsidRPr="003168B8">
        <w:rPr>
          <w:rFonts w:ascii="Arial" w:eastAsia="Times New Roman" w:hAnsi="Arial" w:cs="Arial"/>
          <w:color w:val="222222"/>
          <w:lang w:eastAsia="en-GB"/>
        </w:rPr>
        <w:t xml:space="preserve">. </w:t>
      </w:r>
    </w:p>
    <w:p w14:paraId="558A6AE5" w14:textId="77777777" w:rsidR="008E151D" w:rsidRPr="003168B8" w:rsidRDefault="00BF6C31"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The gender pay quartiles breakdown is</w:t>
      </w:r>
      <w:r w:rsidR="008E151D" w:rsidRPr="003168B8">
        <w:rPr>
          <w:rFonts w:ascii="Arial" w:eastAsia="Times New Roman" w:hAnsi="Arial" w:cs="Arial"/>
          <w:color w:val="222222"/>
          <w:lang w:eastAsia="en-GB"/>
        </w:rPr>
        <w:t xml:space="preserve"> as follows</w:t>
      </w:r>
      <w:r w:rsidRPr="003168B8">
        <w:rPr>
          <w:rFonts w:ascii="Arial" w:eastAsia="Times New Roman" w:hAnsi="Arial" w:cs="Arial"/>
          <w:color w:val="222222"/>
          <w:lang w:eastAsia="en-GB"/>
        </w:rPr>
        <w:t>:</w:t>
      </w:r>
    </w:p>
    <w:tbl>
      <w:tblPr>
        <w:tblStyle w:val="TableGrid"/>
        <w:tblW w:w="0" w:type="auto"/>
        <w:tblLook w:val="04A0" w:firstRow="1" w:lastRow="0" w:firstColumn="1" w:lastColumn="0" w:noHBand="0" w:noVBand="1"/>
      </w:tblPr>
      <w:tblGrid>
        <w:gridCol w:w="3005"/>
        <w:gridCol w:w="1810"/>
        <w:gridCol w:w="1701"/>
      </w:tblGrid>
      <w:tr w:rsidR="008E151D" w:rsidRPr="003168B8" w14:paraId="5C634492" w14:textId="77777777" w:rsidTr="008E151D">
        <w:tc>
          <w:tcPr>
            <w:tcW w:w="3005" w:type="dxa"/>
          </w:tcPr>
          <w:p w14:paraId="3A33BBB8" w14:textId="77777777" w:rsidR="008E151D" w:rsidRPr="003168B8" w:rsidRDefault="008E151D" w:rsidP="00E60204">
            <w:pPr>
              <w:spacing w:after="150"/>
              <w:rPr>
                <w:rFonts w:ascii="Arial" w:eastAsia="Times New Roman" w:hAnsi="Arial" w:cs="Arial"/>
                <w:b/>
                <w:color w:val="222222"/>
                <w:lang w:eastAsia="en-GB"/>
              </w:rPr>
            </w:pPr>
            <w:r w:rsidRPr="003168B8">
              <w:rPr>
                <w:rFonts w:ascii="Arial" w:eastAsia="Times New Roman" w:hAnsi="Arial" w:cs="Arial"/>
                <w:b/>
                <w:color w:val="222222"/>
                <w:lang w:eastAsia="en-GB"/>
              </w:rPr>
              <w:t>Quartile</w:t>
            </w:r>
          </w:p>
        </w:tc>
        <w:tc>
          <w:tcPr>
            <w:tcW w:w="1810" w:type="dxa"/>
          </w:tcPr>
          <w:p w14:paraId="6DB5443A" w14:textId="77777777" w:rsidR="008E151D" w:rsidRPr="003168B8" w:rsidRDefault="006627AC" w:rsidP="00E60204">
            <w:pPr>
              <w:spacing w:after="150"/>
              <w:rPr>
                <w:rFonts w:ascii="Arial" w:eastAsia="Times New Roman" w:hAnsi="Arial" w:cs="Arial"/>
                <w:b/>
                <w:color w:val="222222"/>
                <w:lang w:eastAsia="en-GB"/>
              </w:rPr>
            </w:pPr>
            <w:r w:rsidRPr="003168B8">
              <w:rPr>
                <w:rFonts w:ascii="Arial" w:eastAsia="Times New Roman" w:hAnsi="Arial" w:cs="Arial"/>
                <w:b/>
                <w:color w:val="222222"/>
                <w:lang w:eastAsia="en-GB"/>
              </w:rPr>
              <w:t>% Male</w:t>
            </w:r>
          </w:p>
        </w:tc>
        <w:tc>
          <w:tcPr>
            <w:tcW w:w="1701" w:type="dxa"/>
          </w:tcPr>
          <w:p w14:paraId="5E0762B9" w14:textId="77777777" w:rsidR="008E151D" w:rsidRPr="003168B8" w:rsidRDefault="006627AC" w:rsidP="00E60204">
            <w:pPr>
              <w:spacing w:after="150"/>
              <w:rPr>
                <w:rFonts w:ascii="Arial" w:eastAsia="Times New Roman" w:hAnsi="Arial" w:cs="Arial"/>
                <w:b/>
                <w:color w:val="222222"/>
                <w:lang w:eastAsia="en-GB"/>
              </w:rPr>
            </w:pPr>
            <w:r w:rsidRPr="003168B8">
              <w:rPr>
                <w:rFonts w:ascii="Arial" w:eastAsia="Times New Roman" w:hAnsi="Arial" w:cs="Arial"/>
                <w:b/>
                <w:color w:val="222222"/>
                <w:lang w:eastAsia="en-GB"/>
              </w:rPr>
              <w:t>% Female</w:t>
            </w:r>
          </w:p>
        </w:tc>
      </w:tr>
      <w:tr w:rsidR="0078224C" w:rsidRPr="003168B8" w14:paraId="49E6D95B" w14:textId="77777777" w:rsidTr="008E151D">
        <w:tc>
          <w:tcPr>
            <w:tcW w:w="3005" w:type="dxa"/>
          </w:tcPr>
          <w:p w14:paraId="544BC3D7" w14:textId="4A3E735F" w:rsidR="0078224C" w:rsidRPr="003168B8" w:rsidRDefault="0078224C" w:rsidP="0078224C">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Upper Quartile</w:t>
            </w:r>
          </w:p>
        </w:tc>
        <w:tc>
          <w:tcPr>
            <w:tcW w:w="1810" w:type="dxa"/>
          </w:tcPr>
          <w:p w14:paraId="79A4F395" w14:textId="58DCCEF7"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21</w:t>
            </w:r>
            <w:r w:rsidRPr="003168B8">
              <w:rPr>
                <w:rFonts w:ascii="Arial" w:eastAsia="Times New Roman" w:hAnsi="Arial" w:cs="Arial"/>
                <w:color w:val="222222"/>
                <w:lang w:eastAsia="en-GB"/>
              </w:rPr>
              <w:t>%</w:t>
            </w:r>
          </w:p>
        </w:tc>
        <w:tc>
          <w:tcPr>
            <w:tcW w:w="1701" w:type="dxa"/>
          </w:tcPr>
          <w:p w14:paraId="48218B39" w14:textId="29FCB033"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79</w:t>
            </w:r>
            <w:r w:rsidRPr="003168B8">
              <w:rPr>
                <w:rFonts w:ascii="Arial" w:eastAsia="Times New Roman" w:hAnsi="Arial" w:cs="Arial"/>
                <w:color w:val="222222"/>
                <w:lang w:eastAsia="en-GB"/>
              </w:rPr>
              <w:t>%</w:t>
            </w:r>
          </w:p>
        </w:tc>
      </w:tr>
      <w:tr w:rsidR="0078224C" w:rsidRPr="003168B8" w14:paraId="2D6EFDD0" w14:textId="77777777" w:rsidTr="008E151D">
        <w:tc>
          <w:tcPr>
            <w:tcW w:w="3005" w:type="dxa"/>
          </w:tcPr>
          <w:p w14:paraId="382D551F" w14:textId="36F5A3C7" w:rsidR="0078224C" w:rsidRPr="003168B8" w:rsidRDefault="0078224C" w:rsidP="0078224C">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 xml:space="preserve">Upper Middle Quartile </w:t>
            </w:r>
          </w:p>
        </w:tc>
        <w:tc>
          <w:tcPr>
            <w:tcW w:w="1810" w:type="dxa"/>
          </w:tcPr>
          <w:p w14:paraId="3E2750AA" w14:textId="0898DAE5"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10</w:t>
            </w:r>
            <w:r w:rsidRPr="003168B8">
              <w:rPr>
                <w:rFonts w:ascii="Arial" w:eastAsia="Times New Roman" w:hAnsi="Arial" w:cs="Arial"/>
                <w:color w:val="222222"/>
                <w:lang w:eastAsia="en-GB"/>
              </w:rPr>
              <w:t>%</w:t>
            </w:r>
          </w:p>
        </w:tc>
        <w:tc>
          <w:tcPr>
            <w:tcW w:w="1701" w:type="dxa"/>
          </w:tcPr>
          <w:p w14:paraId="054E71C3" w14:textId="6B122F3F"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90</w:t>
            </w:r>
            <w:r w:rsidRPr="003168B8">
              <w:rPr>
                <w:rFonts w:ascii="Arial" w:eastAsia="Times New Roman" w:hAnsi="Arial" w:cs="Arial"/>
                <w:color w:val="222222"/>
                <w:lang w:eastAsia="en-GB"/>
              </w:rPr>
              <w:t>%</w:t>
            </w:r>
          </w:p>
        </w:tc>
      </w:tr>
      <w:tr w:rsidR="0078224C" w:rsidRPr="003168B8" w14:paraId="568FEAF7" w14:textId="77777777" w:rsidTr="008E151D">
        <w:tc>
          <w:tcPr>
            <w:tcW w:w="3005" w:type="dxa"/>
          </w:tcPr>
          <w:p w14:paraId="160BE257" w14:textId="38EB292C" w:rsidR="0078224C" w:rsidRPr="003168B8" w:rsidRDefault="0078224C" w:rsidP="0078224C">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Lower Middle Quartile</w:t>
            </w:r>
          </w:p>
        </w:tc>
        <w:tc>
          <w:tcPr>
            <w:tcW w:w="1810" w:type="dxa"/>
          </w:tcPr>
          <w:p w14:paraId="60F6EBE9" w14:textId="30974F7B"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16</w:t>
            </w:r>
            <w:r w:rsidRPr="003168B8">
              <w:rPr>
                <w:rFonts w:ascii="Arial" w:eastAsia="Times New Roman" w:hAnsi="Arial" w:cs="Arial"/>
                <w:color w:val="222222"/>
                <w:lang w:eastAsia="en-GB"/>
              </w:rPr>
              <w:t>%</w:t>
            </w:r>
          </w:p>
        </w:tc>
        <w:tc>
          <w:tcPr>
            <w:tcW w:w="1701" w:type="dxa"/>
          </w:tcPr>
          <w:p w14:paraId="7BC52E58" w14:textId="37D0FB00"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84</w:t>
            </w:r>
            <w:r w:rsidRPr="003168B8">
              <w:rPr>
                <w:rFonts w:ascii="Arial" w:eastAsia="Times New Roman" w:hAnsi="Arial" w:cs="Arial"/>
                <w:color w:val="222222"/>
                <w:lang w:eastAsia="en-GB"/>
              </w:rPr>
              <w:t>%</w:t>
            </w:r>
          </w:p>
        </w:tc>
      </w:tr>
      <w:tr w:rsidR="0078224C" w:rsidRPr="003168B8" w14:paraId="586D1470" w14:textId="77777777" w:rsidTr="008E151D">
        <w:tc>
          <w:tcPr>
            <w:tcW w:w="3005" w:type="dxa"/>
          </w:tcPr>
          <w:p w14:paraId="6A35EF74" w14:textId="15265516" w:rsidR="0078224C" w:rsidRPr="003168B8" w:rsidRDefault="0078224C" w:rsidP="0078224C">
            <w:pPr>
              <w:spacing w:after="150"/>
              <w:rPr>
                <w:rFonts w:ascii="Arial" w:eastAsia="Times New Roman" w:hAnsi="Arial" w:cs="Arial"/>
                <w:color w:val="222222"/>
                <w:lang w:eastAsia="en-GB"/>
              </w:rPr>
            </w:pPr>
            <w:r w:rsidRPr="003168B8">
              <w:rPr>
                <w:rFonts w:ascii="Arial" w:eastAsia="Times New Roman" w:hAnsi="Arial" w:cs="Arial"/>
                <w:color w:val="222222"/>
                <w:lang w:eastAsia="en-GB"/>
              </w:rPr>
              <w:t>Lower Quartile</w:t>
            </w:r>
          </w:p>
        </w:tc>
        <w:tc>
          <w:tcPr>
            <w:tcW w:w="1810" w:type="dxa"/>
          </w:tcPr>
          <w:p w14:paraId="32301A4C" w14:textId="7A9AF765"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31</w:t>
            </w:r>
            <w:r w:rsidRPr="003168B8">
              <w:rPr>
                <w:rFonts w:ascii="Arial" w:eastAsia="Times New Roman" w:hAnsi="Arial" w:cs="Arial"/>
                <w:color w:val="222222"/>
                <w:lang w:eastAsia="en-GB"/>
              </w:rPr>
              <w:t>%</w:t>
            </w:r>
          </w:p>
        </w:tc>
        <w:tc>
          <w:tcPr>
            <w:tcW w:w="1701" w:type="dxa"/>
          </w:tcPr>
          <w:p w14:paraId="7A6D9153" w14:textId="2611C5B2" w:rsidR="0078224C" w:rsidRDefault="0078224C" w:rsidP="0078224C">
            <w:pPr>
              <w:spacing w:after="150"/>
              <w:rPr>
                <w:rFonts w:ascii="Arial" w:eastAsia="Times New Roman" w:hAnsi="Arial" w:cs="Arial"/>
                <w:color w:val="222222"/>
                <w:lang w:eastAsia="en-GB"/>
              </w:rPr>
            </w:pPr>
            <w:r>
              <w:rPr>
                <w:rFonts w:ascii="Arial" w:eastAsia="Times New Roman" w:hAnsi="Arial" w:cs="Arial"/>
                <w:color w:val="222222"/>
                <w:lang w:eastAsia="en-GB"/>
              </w:rPr>
              <w:t>69</w:t>
            </w:r>
            <w:r w:rsidRPr="003168B8">
              <w:rPr>
                <w:rFonts w:ascii="Arial" w:eastAsia="Times New Roman" w:hAnsi="Arial" w:cs="Arial"/>
                <w:color w:val="222222"/>
                <w:lang w:eastAsia="en-GB"/>
              </w:rPr>
              <w:t>%</w:t>
            </w:r>
          </w:p>
        </w:tc>
      </w:tr>
    </w:tbl>
    <w:p w14:paraId="7924742A" w14:textId="77777777" w:rsidR="008E151D" w:rsidRDefault="008E151D" w:rsidP="00E60204">
      <w:pPr>
        <w:shd w:val="clear" w:color="auto" w:fill="FFFFFF"/>
        <w:spacing w:after="150" w:line="240" w:lineRule="auto"/>
        <w:rPr>
          <w:rFonts w:ascii="Arial" w:eastAsia="Times New Roman" w:hAnsi="Arial" w:cs="Arial"/>
          <w:color w:val="222222"/>
          <w:lang w:eastAsia="en-GB"/>
        </w:rPr>
      </w:pPr>
    </w:p>
    <w:p w14:paraId="5012BCB9" w14:textId="6D6938DE" w:rsidR="004E054B" w:rsidRPr="004E054B" w:rsidRDefault="004E054B" w:rsidP="00E60204">
      <w:pPr>
        <w:shd w:val="clear" w:color="auto" w:fill="FFFFFF"/>
        <w:spacing w:after="150" w:line="240" w:lineRule="auto"/>
        <w:rPr>
          <w:rFonts w:ascii="Arial" w:eastAsia="Times New Roman" w:hAnsi="Arial" w:cs="Arial"/>
          <w:b/>
          <w:bCs/>
          <w:color w:val="222222"/>
          <w:lang w:eastAsia="en-GB"/>
        </w:rPr>
      </w:pPr>
      <w:r>
        <w:rPr>
          <w:rFonts w:ascii="Arial" w:eastAsia="Times New Roman" w:hAnsi="Arial" w:cs="Arial"/>
          <w:b/>
          <w:bCs/>
          <w:color w:val="222222"/>
          <w:lang w:eastAsia="en-GB"/>
        </w:rPr>
        <w:t xml:space="preserve">Percentage </w:t>
      </w:r>
      <w:r w:rsidRPr="004E054B">
        <w:rPr>
          <w:rFonts w:ascii="Arial" w:eastAsia="Times New Roman" w:hAnsi="Arial" w:cs="Arial"/>
          <w:b/>
          <w:bCs/>
          <w:color w:val="222222"/>
          <w:lang w:eastAsia="en-GB"/>
        </w:rPr>
        <w:t>of men and women who received bonus pay</w:t>
      </w:r>
    </w:p>
    <w:p w14:paraId="77DA4D1D" w14:textId="659DD24D" w:rsidR="004E054B" w:rsidRDefault="004E054B"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Percentage of Men Receiving Bonus Pay </w:t>
      </w:r>
      <w:r>
        <w:rPr>
          <w:rFonts w:ascii="Arial" w:eastAsia="Times New Roman" w:hAnsi="Arial" w:cs="Arial"/>
          <w:color w:val="222222"/>
          <w:lang w:eastAsia="en-GB"/>
        </w:rPr>
        <w:tab/>
      </w:r>
      <w:r>
        <w:rPr>
          <w:rFonts w:ascii="Arial" w:eastAsia="Times New Roman" w:hAnsi="Arial" w:cs="Arial"/>
          <w:color w:val="222222"/>
          <w:lang w:eastAsia="en-GB"/>
        </w:rPr>
        <w:tab/>
      </w:r>
      <w:r w:rsidR="003B2B53">
        <w:rPr>
          <w:rFonts w:ascii="Arial" w:eastAsia="Times New Roman" w:hAnsi="Arial" w:cs="Arial"/>
          <w:color w:val="222222"/>
          <w:lang w:eastAsia="en-GB"/>
        </w:rPr>
        <w:t>74</w:t>
      </w:r>
      <w:r>
        <w:rPr>
          <w:rFonts w:ascii="Arial" w:eastAsia="Times New Roman" w:hAnsi="Arial" w:cs="Arial"/>
          <w:color w:val="222222"/>
          <w:lang w:eastAsia="en-GB"/>
        </w:rPr>
        <w:t>%</w:t>
      </w:r>
    </w:p>
    <w:p w14:paraId="5A89191E" w14:textId="4DE5E196" w:rsidR="004E054B" w:rsidRDefault="004E054B"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 xml:space="preserve">Percentage of Women Receiving Bonus Pay </w:t>
      </w:r>
      <w:r>
        <w:rPr>
          <w:rFonts w:ascii="Arial" w:eastAsia="Times New Roman" w:hAnsi="Arial" w:cs="Arial"/>
          <w:color w:val="222222"/>
          <w:lang w:eastAsia="en-GB"/>
        </w:rPr>
        <w:tab/>
      </w:r>
      <w:r w:rsidR="003B2B53">
        <w:rPr>
          <w:rFonts w:ascii="Arial" w:eastAsia="Times New Roman" w:hAnsi="Arial" w:cs="Arial"/>
          <w:color w:val="222222"/>
          <w:lang w:eastAsia="en-GB"/>
        </w:rPr>
        <w:t>68</w:t>
      </w:r>
      <w:r>
        <w:rPr>
          <w:rFonts w:ascii="Arial" w:eastAsia="Times New Roman" w:hAnsi="Arial" w:cs="Arial"/>
          <w:color w:val="222222"/>
          <w:lang w:eastAsia="en-GB"/>
        </w:rPr>
        <w:t>%</w:t>
      </w:r>
    </w:p>
    <w:p w14:paraId="476F2D24" w14:textId="79F2ED32" w:rsidR="000B0BCA" w:rsidRDefault="004F3E66"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Bonuses</w:t>
      </w:r>
      <w:r w:rsidR="003B2B53">
        <w:rPr>
          <w:rFonts w:ascii="Arial" w:eastAsia="Times New Roman" w:hAnsi="Arial" w:cs="Arial"/>
          <w:color w:val="222222"/>
          <w:lang w:eastAsia="en-GB"/>
        </w:rPr>
        <w:t xml:space="preserve"> paid within the 12 months to the 5 April 2025 </w:t>
      </w:r>
      <w:r w:rsidR="00274D05">
        <w:rPr>
          <w:rFonts w:ascii="Arial" w:eastAsia="Times New Roman" w:hAnsi="Arial" w:cs="Arial"/>
          <w:color w:val="222222"/>
          <w:lang w:eastAsia="en-GB"/>
        </w:rPr>
        <w:t xml:space="preserve">related to </w:t>
      </w:r>
      <w:r w:rsidR="001C1EC6">
        <w:rPr>
          <w:rFonts w:ascii="Arial" w:eastAsia="Times New Roman" w:hAnsi="Arial" w:cs="Arial"/>
          <w:color w:val="222222"/>
          <w:lang w:eastAsia="en-GB"/>
        </w:rPr>
        <w:t xml:space="preserve">bonuses </w:t>
      </w:r>
      <w:r>
        <w:rPr>
          <w:rFonts w:ascii="Arial" w:eastAsia="Times New Roman" w:hAnsi="Arial" w:cs="Arial"/>
          <w:color w:val="222222"/>
          <w:lang w:eastAsia="en-GB"/>
        </w:rPr>
        <w:t>paid within our Retail operations based on achieving certain performance targets</w:t>
      </w:r>
      <w:r w:rsidR="001C1EC6">
        <w:rPr>
          <w:rFonts w:ascii="Arial" w:eastAsia="Times New Roman" w:hAnsi="Arial" w:cs="Arial"/>
          <w:color w:val="222222"/>
          <w:lang w:eastAsia="en-GB"/>
        </w:rPr>
        <w:t xml:space="preserve">, </w:t>
      </w:r>
      <w:r w:rsidR="00CC580D">
        <w:rPr>
          <w:rFonts w:ascii="Arial" w:eastAsia="Times New Roman" w:hAnsi="Arial" w:cs="Arial"/>
          <w:color w:val="222222"/>
          <w:lang w:eastAsia="en-GB"/>
        </w:rPr>
        <w:t xml:space="preserve">a back dated </w:t>
      </w:r>
      <w:r w:rsidR="0077195F">
        <w:rPr>
          <w:rFonts w:ascii="Arial" w:eastAsia="Times New Roman" w:hAnsi="Arial" w:cs="Arial"/>
          <w:color w:val="222222"/>
          <w:lang w:eastAsia="en-GB"/>
        </w:rPr>
        <w:t>n</w:t>
      </w:r>
      <w:r w:rsidR="001C1EC6">
        <w:rPr>
          <w:rFonts w:ascii="Arial" w:eastAsia="Times New Roman" w:hAnsi="Arial" w:cs="Arial"/>
          <w:color w:val="222222"/>
          <w:lang w:eastAsia="en-GB"/>
        </w:rPr>
        <w:t xml:space="preserve">on-consolidated pay award </w:t>
      </w:r>
      <w:r w:rsidR="00C07D7C">
        <w:rPr>
          <w:rFonts w:ascii="Arial" w:eastAsia="Times New Roman" w:hAnsi="Arial" w:cs="Arial"/>
          <w:color w:val="222222"/>
          <w:lang w:eastAsia="en-GB"/>
        </w:rPr>
        <w:t xml:space="preserve">linked to the NHS Agenda for Change </w:t>
      </w:r>
      <w:r w:rsidR="0077195F">
        <w:rPr>
          <w:rFonts w:ascii="Arial" w:eastAsia="Times New Roman" w:hAnsi="Arial" w:cs="Arial"/>
          <w:color w:val="222222"/>
          <w:lang w:eastAsia="en-GB"/>
        </w:rPr>
        <w:t>t</w:t>
      </w:r>
      <w:r w:rsidR="00C07D7C">
        <w:rPr>
          <w:rFonts w:ascii="Arial" w:eastAsia="Times New Roman" w:hAnsi="Arial" w:cs="Arial"/>
          <w:color w:val="222222"/>
          <w:lang w:eastAsia="en-GB"/>
        </w:rPr>
        <w:t xml:space="preserve">erms </w:t>
      </w:r>
      <w:r w:rsidR="0077195F">
        <w:rPr>
          <w:rFonts w:ascii="Arial" w:eastAsia="Times New Roman" w:hAnsi="Arial" w:cs="Arial"/>
          <w:color w:val="222222"/>
          <w:lang w:eastAsia="en-GB"/>
        </w:rPr>
        <w:t>and c</w:t>
      </w:r>
      <w:r w:rsidR="00C07D7C">
        <w:rPr>
          <w:rFonts w:ascii="Arial" w:eastAsia="Times New Roman" w:hAnsi="Arial" w:cs="Arial"/>
          <w:color w:val="222222"/>
          <w:lang w:eastAsia="en-GB"/>
        </w:rPr>
        <w:t>onditions</w:t>
      </w:r>
      <w:r w:rsidR="00DA131F">
        <w:rPr>
          <w:rFonts w:ascii="Arial" w:eastAsia="Times New Roman" w:hAnsi="Arial" w:cs="Arial"/>
          <w:color w:val="222222"/>
          <w:lang w:eastAsia="en-GB"/>
        </w:rPr>
        <w:t xml:space="preserve"> which Dorothy House aligns to in parts of the organisation and </w:t>
      </w:r>
      <w:r w:rsidR="0014479E">
        <w:rPr>
          <w:rFonts w:ascii="Arial" w:eastAsia="Times New Roman" w:hAnsi="Arial" w:cs="Arial"/>
          <w:color w:val="222222"/>
          <w:lang w:eastAsia="en-GB"/>
        </w:rPr>
        <w:t>Long-Term</w:t>
      </w:r>
      <w:r w:rsidR="00E10B5D">
        <w:rPr>
          <w:rFonts w:ascii="Arial" w:eastAsia="Times New Roman" w:hAnsi="Arial" w:cs="Arial"/>
          <w:color w:val="222222"/>
          <w:lang w:eastAsia="en-GB"/>
        </w:rPr>
        <w:t xml:space="preserve"> Service Awards.</w:t>
      </w:r>
      <w:r>
        <w:rPr>
          <w:rFonts w:ascii="Arial" w:eastAsia="Times New Roman" w:hAnsi="Arial" w:cs="Arial"/>
          <w:color w:val="222222"/>
          <w:lang w:eastAsia="en-GB"/>
        </w:rPr>
        <w:t xml:space="preserve"> </w:t>
      </w:r>
    </w:p>
    <w:p w14:paraId="477B9974" w14:textId="57DBD27B" w:rsidR="00096530" w:rsidRDefault="008D79EA"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The NHS linked non-consolidate</w:t>
      </w:r>
      <w:r w:rsidR="003B467D">
        <w:rPr>
          <w:rFonts w:ascii="Arial" w:eastAsia="Times New Roman" w:hAnsi="Arial" w:cs="Arial"/>
          <w:color w:val="222222"/>
          <w:lang w:eastAsia="en-GB"/>
        </w:rPr>
        <w:t>d</w:t>
      </w:r>
      <w:r>
        <w:rPr>
          <w:rFonts w:ascii="Arial" w:eastAsia="Times New Roman" w:hAnsi="Arial" w:cs="Arial"/>
          <w:color w:val="222222"/>
          <w:lang w:eastAsia="en-GB"/>
        </w:rPr>
        <w:t xml:space="preserve"> award </w:t>
      </w:r>
      <w:r w:rsidR="00FC71F1">
        <w:rPr>
          <w:rFonts w:ascii="Arial" w:eastAsia="Times New Roman" w:hAnsi="Arial" w:cs="Arial"/>
          <w:color w:val="222222"/>
          <w:lang w:eastAsia="en-GB"/>
        </w:rPr>
        <w:t xml:space="preserve">was a backdated award and </w:t>
      </w:r>
      <w:r>
        <w:rPr>
          <w:rFonts w:ascii="Arial" w:eastAsia="Times New Roman" w:hAnsi="Arial" w:cs="Arial"/>
          <w:color w:val="222222"/>
          <w:lang w:eastAsia="en-GB"/>
        </w:rPr>
        <w:t xml:space="preserve">required staff to have been employed </w:t>
      </w:r>
      <w:proofErr w:type="gramStart"/>
      <w:r>
        <w:rPr>
          <w:rFonts w:ascii="Arial" w:eastAsia="Times New Roman" w:hAnsi="Arial" w:cs="Arial"/>
          <w:color w:val="222222"/>
          <w:lang w:eastAsia="en-GB"/>
        </w:rPr>
        <w:t>at</w:t>
      </w:r>
      <w:proofErr w:type="gramEnd"/>
      <w:r>
        <w:rPr>
          <w:rFonts w:ascii="Arial" w:eastAsia="Times New Roman" w:hAnsi="Arial" w:cs="Arial"/>
          <w:color w:val="222222"/>
          <w:lang w:eastAsia="en-GB"/>
        </w:rPr>
        <w:t xml:space="preserve"> 31 March 2023</w:t>
      </w:r>
      <w:r w:rsidR="003C33F1">
        <w:rPr>
          <w:rFonts w:ascii="Arial" w:eastAsia="Times New Roman" w:hAnsi="Arial" w:cs="Arial"/>
          <w:color w:val="222222"/>
          <w:lang w:eastAsia="en-GB"/>
        </w:rPr>
        <w:t xml:space="preserve">. </w:t>
      </w:r>
      <w:r w:rsidR="007018AA">
        <w:rPr>
          <w:rFonts w:ascii="Arial" w:eastAsia="Times New Roman" w:hAnsi="Arial" w:cs="Arial"/>
          <w:color w:val="222222"/>
          <w:lang w:eastAsia="en-GB"/>
        </w:rPr>
        <w:t xml:space="preserve">With </w:t>
      </w:r>
      <w:proofErr w:type="gramStart"/>
      <w:r w:rsidR="00B2192A">
        <w:rPr>
          <w:rFonts w:ascii="Arial" w:eastAsia="Times New Roman" w:hAnsi="Arial" w:cs="Arial"/>
          <w:color w:val="222222"/>
          <w:lang w:eastAsia="en-GB"/>
        </w:rPr>
        <w:t>the majority of</w:t>
      </w:r>
      <w:proofErr w:type="gramEnd"/>
      <w:r w:rsidR="00B2192A">
        <w:rPr>
          <w:rFonts w:ascii="Arial" w:eastAsia="Times New Roman" w:hAnsi="Arial" w:cs="Arial"/>
          <w:color w:val="222222"/>
          <w:lang w:eastAsia="en-GB"/>
        </w:rPr>
        <w:t xml:space="preserve"> the workforce in this area being female</w:t>
      </w:r>
      <w:r w:rsidR="00580409">
        <w:rPr>
          <w:rFonts w:ascii="Arial" w:eastAsia="Times New Roman" w:hAnsi="Arial" w:cs="Arial"/>
          <w:color w:val="222222"/>
          <w:lang w:eastAsia="en-GB"/>
        </w:rPr>
        <w:t>, staff turnover over this</w:t>
      </w:r>
      <w:r w:rsidR="003D79A5">
        <w:rPr>
          <w:rFonts w:ascii="Arial" w:eastAsia="Times New Roman" w:hAnsi="Arial" w:cs="Arial"/>
          <w:color w:val="222222"/>
          <w:lang w:eastAsia="en-GB"/>
        </w:rPr>
        <w:t xml:space="preserve"> two</w:t>
      </w:r>
      <w:r w:rsidR="00B77F86">
        <w:rPr>
          <w:rFonts w:ascii="Arial" w:eastAsia="Times New Roman" w:hAnsi="Arial" w:cs="Arial"/>
          <w:color w:val="222222"/>
          <w:lang w:eastAsia="en-GB"/>
        </w:rPr>
        <w:t>-</w:t>
      </w:r>
      <w:r w:rsidR="003D79A5">
        <w:rPr>
          <w:rFonts w:ascii="Arial" w:eastAsia="Times New Roman" w:hAnsi="Arial" w:cs="Arial"/>
          <w:color w:val="222222"/>
          <w:lang w:eastAsia="en-GB"/>
        </w:rPr>
        <w:t>year period</w:t>
      </w:r>
      <w:r w:rsidR="00906DC0">
        <w:rPr>
          <w:rFonts w:ascii="Arial" w:eastAsia="Times New Roman" w:hAnsi="Arial" w:cs="Arial"/>
          <w:color w:val="222222"/>
          <w:lang w:eastAsia="en-GB"/>
        </w:rPr>
        <w:t xml:space="preserve"> to 5 April 2025</w:t>
      </w:r>
      <w:r w:rsidR="003D79A5">
        <w:rPr>
          <w:rFonts w:ascii="Arial" w:eastAsia="Times New Roman" w:hAnsi="Arial" w:cs="Arial"/>
          <w:color w:val="222222"/>
          <w:lang w:eastAsia="en-GB"/>
        </w:rPr>
        <w:t xml:space="preserve"> </w:t>
      </w:r>
      <w:r w:rsidR="00B2192A">
        <w:rPr>
          <w:rFonts w:ascii="Arial" w:eastAsia="Times New Roman" w:hAnsi="Arial" w:cs="Arial"/>
          <w:color w:val="222222"/>
          <w:lang w:eastAsia="en-GB"/>
        </w:rPr>
        <w:t xml:space="preserve">has </w:t>
      </w:r>
      <w:r w:rsidR="009D6970">
        <w:rPr>
          <w:rFonts w:ascii="Arial" w:eastAsia="Times New Roman" w:hAnsi="Arial" w:cs="Arial"/>
          <w:color w:val="222222"/>
          <w:lang w:eastAsia="en-GB"/>
        </w:rPr>
        <w:t xml:space="preserve">therefore </w:t>
      </w:r>
      <w:r w:rsidR="00B2192A">
        <w:rPr>
          <w:rFonts w:ascii="Arial" w:eastAsia="Times New Roman" w:hAnsi="Arial" w:cs="Arial"/>
          <w:color w:val="222222"/>
          <w:lang w:eastAsia="en-GB"/>
        </w:rPr>
        <w:t xml:space="preserve">contributed to the lower % </w:t>
      </w:r>
      <w:r w:rsidR="00096530">
        <w:rPr>
          <w:rFonts w:ascii="Arial" w:eastAsia="Times New Roman" w:hAnsi="Arial" w:cs="Arial"/>
          <w:color w:val="222222"/>
          <w:lang w:eastAsia="en-GB"/>
        </w:rPr>
        <w:t>of women rece</w:t>
      </w:r>
      <w:r w:rsidR="00721E1C">
        <w:rPr>
          <w:rFonts w:ascii="Arial" w:eastAsia="Times New Roman" w:hAnsi="Arial" w:cs="Arial"/>
          <w:color w:val="222222"/>
          <w:lang w:eastAsia="en-GB"/>
        </w:rPr>
        <w:t>iv</w:t>
      </w:r>
      <w:r w:rsidR="00096530">
        <w:rPr>
          <w:rFonts w:ascii="Arial" w:eastAsia="Times New Roman" w:hAnsi="Arial" w:cs="Arial"/>
          <w:color w:val="222222"/>
          <w:lang w:eastAsia="en-GB"/>
        </w:rPr>
        <w:t>ing a bonus</w:t>
      </w:r>
      <w:r w:rsidR="008F0946">
        <w:rPr>
          <w:rFonts w:ascii="Arial" w:eastAsia="Times New Roman" w:hAnsi="Arial" w:cs="Arial"/>
          <w:color w:val="222222"/>
          <w:lang w:eastAsia="en-GB"/>
        </w:rPr>
        <w:t xml:space="preserve">, as many </w:t>
      </w:r>
      <w:r w:rsidR="00780CAB">
        <w:rPr>
          <w:rFonts w:ascii="Arial" w:eastAsia="Times New Roman" w:hAnsi="Arial" w:cs="Arial"/>
          <w:color w:val="222222"/>
          <w:lang w:eastAsia="en-GB"/>
        </w:rPr>
        <w:t xml:space="preserve">employed </w:t>
      </w:r>
      <w:proofErr w:type="gramStart"/>
      <w:r w:rsidR="00780CAB">
        <w:rPr>
          <w:rFonts w:ascii="Arial" w:eastAsia="Times New Roman" w:hAnsi="Arial" w:cs="Arial"/>
          <w:color w:val="222222"/>
          <w:lang w:eastAsia="en-GB"/>
        </w:rPr>
        <w:t>at</w:t>
      </w:r>
      <w:proofErr w:type="gramEnd"/>
      <w:r w:rsidR="00780CAB">
        <w:rPr>
          <w:rFonts w:ascii="Arial" w:eastAsia="Times New Roman" w:hAnsi="Arial" w:cs="Arial"/>
          <w:color w:val="222222"/>
          <w:lang w:eastAsia="en-GB"/>
        </w:rPr>
        <w:t xml:space="preserve"> 5 April 2025 </w:t>
      </w:r>
      <w:r w:rsidR="008F0946">
        <w:rPr>
          <w:rFonts w:ascii="Arial" w:eastAsia="Times New Roman" w:hAnsi="Arial" w:cs="Arial"/>
          <w:color w:val="222222"/>
          <w:lang w:eastAsia="en-GB"/>
        </w:rPr>
        <w:t>were therefore not eligible</w:t>
      </w:r>
      <w:r w:rsidR="00096530">
        <w:rPr>
          <w:rFonts w:ascii="Arial" w:eastAsia="Times New Roman" w:hAnsi="Arial" w:cs="Arial"/>
          <w:color w:val="222222"/>
          <w:lang w:eastAsia="en-GB"/>
        </w:rPr>
        <w:t>.</w:t>
      </w:r>
      <w:r w:rsidR="00906DC0">
        <w:rPr>
          <w:rFonts w:ascii="Arial" w:eastAsia="Times New Roman" w:hAnsi="Arial" w:cs="Arial"/>
          <w:color w:val="222222"/>
          <w:lang w:eastAsia="en-GB"/>
        </w:rPr>
        <w:t xml:space="preserve"> In contrast</w:t>
      </w:r>
      <w:r w:rsidR="000B0794">
        <w:rPr>
          <w:rFonts w:ascii="Arial" w:eastAsia="Times New Roman" w:hAnsi="Arial" w:cs="Arial"/>
          <w:color w:val="222222"/>
          <w:lang w:eastAsia="en-GB"/>
        </w:rPr>
        <w:t xml:space="preserve"> a significant </w:t>
      </w:r>
      <w:r w:rsidR="00E67F4F">
        <w:rPr>
          <w:rFonts w:ascii="Arial" w:eastAsia="Times New Roman" w:hAnsi="Arial" w:cs="Arial"/>
          <w:color w:val="222222"/>
          <w:lang w:eastAsia="en-GB"/>
        </w:rPr>
        <w:t>proportion of the</w:t>
      </w:r>
      <w:r w:rsidR="00906DC0">
        <w:rPr>
          <w:rFonts w:ascii="Arial" w:eastAsia="Times New Roman" w:hAnsi="Arial" w:cs="Arial"/>
          <w:color w:val="222222"/>
          <w:lang w:eastAsia="en-GB"/>
        </w:rPr>
        <w:t xml:space="preserve"> </w:t>
      </w:r>
      <w:r w:rsidR="00780CAB">
        <w:rPr>
          <w:rFonts w:ascii="Arial" w:eastAsia="Times New Roman" w:hAnsi="Arial" w:cs="Arial"/>
          <w:color w:val="222222"/>
          <w:lang w:eastAsia="en-GB"/>
        </w:rPr>
        <w:t>m</w:t>
      </w:r>
      <w:r w:rsidR="00906DC0">
        <w:rPr>
          <w:rFonts w:ascii="Arial" w:eastAsia="Times New Roman" w:hAnsi="Arial" w:cs="Arial"/>
          <w:color w:val="222222"/>
          <w:lang w:eastAsia="en-GB"/>
        </w:rPr>
        <w:t xml:space="preserve">en receiving bonus pay </w:t>
      </w:r>
      <w:r w:rsidR="003A7C05">
        <w:rPr>
          <w:rFonts w:ascii="Arial" w:eastAsia="Times New Roman" w:hAnsi="Arial" w:cs="Arial"/>
          <w:color w:val="222222"/>
          <w:lang w:eastAsia="en-GB"/>
        </w:rPr>
        <w:t xml:space="preserve">were </w:t>
      </w:r>
      <w:r w:rsidR="0047022A">
        <w:rPr>
          <w:rFonts w:ascii="Arial" w:eastAsia="Times New Roman" w:hAnsi="Arial" w:cs="Arial"/>
          <w:color w:val="222222"/>
          <w:lang w:eastAsia="en-GB"/>
        </w:rPr>
        <w:t xml:space="preserve">employed </w:t>
      </w:r>
      <w:r w:rsidR="003A7C05">
        <w:rPr>
          <w:rFonts w:ascii="Arial" w:eastAsia="Times New Roman" w:hAnsi="Arial" w:cs="Arial"/>
          <w:color w:val="222222"/>
          <w:lang w:eastAsia="en-GB"/>
        </w:rPr>
        <w:t xml:space="preserve">in the </w:t>
      </w:r>
      <w:r w:rsidR="00906DC0">
        <w:rPr>
          <w:rFonts w:ascii="Arial" w:eastAsia="Times New Roman" w:hAnsi="Arial" w:cs="Arial"/>
          <w:color w:val="222222"/>
          <w:lang w:eastAsia="en-GB"/>
        </w:rPr>
        <w:t xml:space="preserve">Retail </w:t>
      </w:r>
      <w:r w:rsidR="005D01DF">
        <w:rPr>
          <w:rFonts w:ascii="Arial" w:eastAsia="Times New Roman" w:hAnsi="Arial" w:cs="Arial"/>
          <w:color w:val="222222"/>
          <w:lang w:eastAsia="en-GB"/>
        </w:rPr>
        <w:t>business.</w:t>
      </w:r>
      <w:r w:rsidR="00096530">
        <w:rPr>
          <w:rFonts w:ascii="Arial" w:eastAsia="Times New Roman" w:hAnsi="Arial" w:cs="Arial"/>
          <w:color w:val="222222"/>
          <w:lang w:eastAsia="en-GB"/>
        </w:rPr>
        <w:t xml:space="preserve"> </w:t>
      </w:r>
    </w:p>
    <w:p w14:paraId="3F611A73" w14:textId="77777777" w:rsidR="004260D0" w:rsidRDefault="004260D0" w:rsidP="00E60204">
      <w:pPr>
        <w:shd w:val="clear" w:color="auto" w:fill="FFFFFF"/>
        <w:spacing w:after="150" w:line="240" w:lineRule="auto"/>
        <w:rPr>
          <w:rFonts w:ascii="Arial" w:eastAsia="Times New Roman" w:hAnsi="Arial" w:cs="Arial"/>
          <w:color w:val="222222"/>
          <w:lang w:eastAsia="en-GB"/>
        </w:rPr>
      </w:pPr>
    </w:p>
    <w:p w14:paraId="1C145B71" w14:textId="0E6360AF" w:rsidR="00DB4575" w:rsidRDefault="00120BDE" w:rsidP="00E60204">
      <w:pPr>
        <w:shd w:val="clear" w:color="auto" w:fill="FFFFFF"/>
        <w:spacing w:after="150" w:line="240" w:lineRule="auto"/>
        <w:rPr>
          <w:rFonts w:ascii="Arial" w:eastAsia="Times New Roman" w:hAnsi="Arial" w:cs="Arial"/>
          <w:b/>
          <w:color w:val="222222"/>
          <w:lang w:eastAsia="en-GB"/>
        </w:rPr>
      </w:pPr>
      <w:r>
        <w:rPr>
          <w:rFonts w:ascii="Arial" w:eastAsia="Times New Roman" w:hAnsi="Arial" w:cs="Arial"/>
          <w:b/>
          <w:color w:val="222222"/>
          <w:lang w:eastAsia="en-GB"/>
        </w:rPr>
        <w:t>Bonus Pay</w:t>
      </w:r>
      <w:r w:rsidR="00430CB3">
        <w:rPr>
          <w:rFonts w:ascii="Arial" w:eastAsia="Times New Roman" w:hAnsi="Arial" w:cs="Arial"/>
          <w:b/>
          <w:color w:val="222222"/>
          <w:lang w:eastAsia="en-GB"/>
        </w:rPr>
        <w:t xml:space="preserve"> Mean &amp; Medium </w:t>
      </w:r>
      <w:r w:rsidR="0076798E">
        <w:rPr>
          <w:rFonts w:ascii="Arial" w:eastAsia="Times New Roman" w:hAnsi="Arial" w:cs="Arial"/>
          <w:b/>
          <w:color w:val="222222"/>
          <w:lang w:eastAsia="en-GB"/>
        </w:rPr>
        <w:t>Gender</w:t>
      </w:r>
      <w:r w:rsidR="0076798E">
        <w:rPr>
          <w:rFonts w:ascii="Arial" w:eastAsia="Times New Roman" w:hAnsi="Arial" w:cs="Arial"/>
          <w:b/>
          <w:color w:val="222222"/>
          <w:lang w:eastAsia="en-GB"/>
        </w:rPr>
        <w:t xml:space="preserve"> </w:t>
      </w:r>
      <w:r w:rsidR="00430CB3">
        <w:rPr>
          <w:rFonts w:ascii="Arial" w:eastAsia="Times New Roman" w:hAnsi="Arial" w:cs="Arial"/>
          <w:b/>
          <w:color w:val="222222"/>
          <w:lang w:eastAsia="en-GB"/>
        </w:rPr>
        <w:t>Pay Gap</w:t>
      </w:r>
    </w:p>
    <w:p w14:paraId="5952E2A0" w14:textId="6BC32027" w:rsidR="00430CB3" w:rsidRDefault="00CD59FC" w:rsidP="00E60204">
      <w:pPr>
        <w:shd w:val="clear" w:color="auto" w:fill="FFFFFF"/>
        <w:spacing w:after="150" w:line="240" w:lineRule="auto"/>
        <w:rPr>
          <w:rFonts w:ascii="Arial" w:eastAsia="Times New Roman" w:hAnsi="Arial" w:cs="Arial"/>
          <w:bCs/>
          <w:color w:val="222222"/>
          <w:lang w:eastAsia="en-GB"/>
        </w:rPr>
      </w:pPr>
      <w:r w:rsidRPr="00CD59FC">
        <w:rPr>
          <w:rFonts w:ascii="Arial" w:eastAsia="Times New Roman" w:hAnsi="Arial" w:cs="Arial"/>
          <w:bCs/>
          <w:color w:val="222222"/>
          <w:lang w:eastAsia="en-GB"/>
        </w:rPr>
        <w:t>Mean gender pay gap using bonus pay</w:t>
      </w:r>
      <w:r>
        <w:rPr>
          <w:rFonts w:ascii="Arial" w:eastAsia="Times New Roman" w:hAnsi="Arial" w:cs="Arial"/>
          <w:bCs/>
          <w:color w:val="222222"/>
          <w:lang w:eastAsia="en-GB"/>
        </w:rPr>
        <w:t xml:space="preserve"> </w:t>
      </w:r>
      <w:r>
        <w:rPr>
          <w:rFonts w:ascii="Arial" w:eastAsia="Times New Roman" w:hAnsi="Arial" w:cs="Arial"/>
          <w:bCs/>
          <w:color w:val="222222"/>
          <w:lang w:eastAsia="en-GB"/>
        </w:rPr>
        <w:tab/>
        <w:t>6.4%</w:t>
      </w:r>
    </w:p>
    <w:p w14:paraId="43FDB28B" w14:textId="54B8F506" w:rsidR="00CD59FC" w:rsidRDefault="00CD59FC" w:rsidP="00E60204">
      <w:pPr>
        <w:shd w:val="clear" w:color="auto" w:fill="FFFFFF"/>
        <w:spacing w:after="150" w:line="240" w:lineRule="auto"/>
        <w:rPr>
          <w:rFonts w:ascii="Arial" w:eastAsia="Times New Roman" w:hAnsi="Arial" w:cs="Arial"/>
          <w:bCs/>
          <w:color w:val="222222"/>
          <w:lang w:eastAsia="en-GB"/>
        </w:rPr>
      </w:pPr>
      <w:r w:rsidRPr="00CD59FC">
        <w:rPr>
          <w:rFonts w:ascii="Arial" w:eastAsia="Times New Roman" w:hAnsi="Arial" w:cs="Arial"/>
          <w:bCs/>
          <w:color w:val="222222"/>
          <w:lang w:eastAsia="en-GB"/>
        </w:rPr>
        <w:t>Median gender pay gap using bonus pay</w:t>
      </w:r>
      <w:r>
        <w:rPr>
          <w:rFonts w:ascii="Arial" w:eastAsia="Times New Roman" w:hAnsi="Arial" w:cs="Arial"/>
          <w:bCs/>
          <w:color w:val="222222"/>
          <w:lang w:eastAsia="en-GB"/>
        </w:rPr>
        <w:tab/>
        <w:t>20.0%</w:t>
      </w:r>
    </w:p>
    <w:p w14:paraId="2D026856" w14:textId="48A8FC90" w:rsidR="00435610" w:rsidRDefault="009E572A" w:rsidP="00E60204">
      <w:pPr>
        <w:shd w:val="clear" w:color="auto" w:fill="FFFFFF"/>
        <w:spacing w:after="150" w:line="240" w:lineRule="auto"/>
        <w:rPr>
          <w:rFonts w:ascii="Arial" w:eastAsia="Times New Roman" w:hAnsi="Arial" w:cs="Arial"/>
          <w:bCs/>
          <w:color w:val="222222"/>
          <w:lang w:eastAsia="en-GB"/>
        </w:rPr>
      </w:pPr>
      <w:r>
        <w:rPr>
          <w:rFonts w:ascii="Arial" w:eastAsia="Times New Roman" w:hAnsi="Arial" w:cs="Arial"/>
          <w:bCs/>
          <w:color w:val="222222"/>
          <w:lang w:eastAsia="en-GB"/>
        </w:rPr>
        <w:lastRenderedPageBreak/>
        <w:t xml:space="preserve">Men </w:t>
      </w:r>
      <w:r w:rsidR="00AC3FF4">
        <w:rPr>
          <w:rFonts w:ascii="Arial" w:eastAsia="Times New Roman" w:hAnsi="Arial" w:cs="Arial"/>
          <w:bCs/>
          <w:color w:val="222222"/>
          <w:lang w:eastAsia="en-GB"/>
        </w:rPr>
        <w:t xml:space="preserve">who were </w:t>
      </w:r>
      <w:r>
        <w:rPr>
          <w:rFonts w:ascii="Arial" w:eastAsia="Times New Roman" w:hAnsi="Arial" w:cs="Arial"/>
          <w:bCs/>
          <w:color w:val="222222"/>
          <w:lang w:eastAsia="en-GB"/>
        </w:rPr>
        <w:t>paid a bonus received on average 6.4% more than women as measure</w:t>
      </w:r>
      <w:r w:rsidR="000F3B94">
        <w:rPr>
          <w:rFonts w:ascii="Arial" w:eastAsia="Times New Roman" w:hAnsi="Arial" w:cs="Arial"/>
          <w:bCs/>
          <w:color w:val="222222"/>
          <w:lang w:eastAsia="en-GB"/>
        </w:rPr>
        <w:t>d by the mean and 20.0% more as measure</w:t>
      </w:r>
      <w:r w:rsidR="00CC1D04">
        <w:rPr>
          <w:rFonts w:ascii="Arial" w:eastAsia="Times New Roman" w:hAnsi="Arial" w:cs="Arial"/>
          <w:bCs/>
          <w:color w:val="222222"/>
          <w:lang w:eastAsia="en-GB"/>
        </w:rPr>
        <w:t>d</w:t>
      </w:r>
      <w:r w:rsidR="000F3B94">
        <w:rPr>
          <w:rFonts w:ascii="Arial" w:eastAsia="Times New Roman" w:hAnsi="Arial" w:cs="Arial"/>
          <w:bCs/>
          <w:color w:val="222222"/>
          <w:lang w:eastAsia="en-GB"/>
        </w:rPr>
        <w:t xml:space="preserve"> by the median. Bonuses paid </w:t>
      </w:r>
      <w:r w:rsidR="00435610">
        <w:rPr>
          <w:rFonts w:ascii="Arial" w:eastAsia="Times New Roman" w:hAnsi="Arial" w:cs="Arial"/>
          <w:bCs/>
          <w:color w:val="222222"/>
          <w:lang w:eastAsia="en-GB"/>
        </w:rPr>
        <w:t xml:space="preserve">were </w:t>
      </w:r>
      <w:r w:rsidR="000F3B94">
        <w:rPr>
          <w:rFonts w:ascii="Arial" w:eastAsia="Times New Roman" w:hAnsi="Arial" w:cs="Arial"/>
          <w:bCs/>
          <w:color w:val="222222"/>
          <w:lang w:eastAsia="en-GB"/>
        </w:rPr>
        <w:t xml:space="preserve">correlated to </w:t>
      </w:r>
      <w:r w:rsidR="006832C5">
        <w:rPr>
          <w:rFonts w:ascii="Arial" w:eastAsia="Times New Roman" w:hAnsi="Arial" w:cs="Arial"/>
          <w:bCs/>
          <w:color w:val="222222"/>
          <w:lang w:eastAsia="en-GB"/>
        </w:rPr>
        <w:t>contracted hours</w:t>
      </w:r>
      <w:r w:rsidR="00435610">
        <w:rPr>
          <w:rFonts w:ascii="Arial" w:eastAsia="Times New Roman" w:hAnsi="Arial" w:cs="Arial"/>
          <w:bCs/>
          <w:color w:val="222222"/>
          <w:lang w:eastAsia="en-GB"/>
        </w:rPr>
        <w:t xml:space="preserve"> </w:t>
      </w:r>
      <w:r w:rsidR="006832C5">
        <w:rPr>
          <w:rFonts w:ascii="Arial" w:eastAsia="Times New Roman" w:hAnsi="Arial" w:cs="Arial"/>
          <w:bCs/>
          <w:color w:val="222222"/>
          <w:lang w:eastAsia="en-GB"/>
        </w:rPr>
        <w:t xml:space="preserve">and </w:t>
      </w:r>
      <w:r w:rsidR="00435610">
        <w:rPr>
          <w:rFonts w:ascii="Arial" w:eastAsia="Times New Roman" w:hAnsi="Arial" w:cs="Arial"/>
          <w:bCs/>
          <w:color w:val="222222"/>
          <w:lang w:eastAsia="en-GB"/>
        </w:rPr>
        <w:t>overall pay</w:t>
      </w:r>
      <w:r w:rsidR="00AF5F85">
        <w:rPr>
          <w:rFonts w:ascii="Arial" w:eastAsia="Times New Roman" w:hAnsi="Arial" w:cs="Arial"/>
          <w:bCs/>
          <w:color w:val="222222"/>
          <w:lang w:eastAsia="en-GB"/>
        </w:rPr>
        <w:t>;</w:t>
      </w:r>
      <w:r w:rsidR="00435610">
        <w:rPr>
          <w:rFonts w:ascii="Arial" w:eastAsia="Times New Roman" w:hAnsi="Arial" w:cs="Arial"/>
          <w:bCs/>
          <w:color w:val="222222"/>
          <w:lang w:eastAsia="en-GB"/>
        </w:rPr>
        <w:t xml:space="preserve"> </w:t>
      </w:r>
      <w:r w:rsidR="006832C5">
        <w:rPr>
          <w:rFonts w:ascii="Arial" w:eastAsia="Times New Roman" w:hAnsi="Arial" w:cs="Arial"/>
          <w:bCs/>
          <w:color w:val="222222"/>
          <w:lang w:eastAsia="en-GB"/>
        </w:rPr>
        <w:t xml:space="preserve">on average the male work force receiving bonuses had </w:t>
      </w:r>
      <w:r w:rsidR="00435610">
        <w:rPr>
          <w:rFonts w:ascii="Arial" w:eastAsia="Times New Roman" w:hAnsi="Arial" w:cs="Arial"/>
          <w:bCs/>
          <w:color w:val="222222"/>
          <w:lang w:eastAsia="en-GB"/>
        </w:rPr>
        <w:t>17% higher contractual hours</w:t>
      </w:r>
      <w:r w:rsidR="00AF5F85">
        <w:rPr>
          <w:rFonts w:ascii="Arial" w:eastAsia="Times New Roman" w:hAnsi="Arial" w:cs="Arial"/>
          <w:bCs/>
          <w:color w:val="222222"/>
          <w:lang w:eastAsia="en-GB"/>
        </w:rPr>
        <w:t xml:space="preserve"> </w:t>
      </w:r>
      <w:r w:rsidR="009D0DEE">
        <w:rPr>
          <w:rFonts w:ascii="Arial" w:eastAsia="Times New Roman" w:hAnsi="Arial" w:cs="Arial"/>
          <w:bCs/>
          <w:color w:val="222222"/>
          <w:lang w:eastAsia="en-GB"/>
        </w:rPr>
        <w:t xml:space="preserve">than women receiving bonuses </w:t>
      </w:r>
      <w:r w:rsidR="00AF5F85">
        <w:rPr>
          <w:rFonts w:ascii="Arial" w:eastAsia="Times New Roman" w:hAnsi="Arial" w:cs="Arial"/>
          <w:bCs/>
          <w:color w:val="222222"/>
          <w:lang w:eastAsia="en-GB"/>
        </w:rPr>
        <w:t xml:space="preserve">and therefore on average bonuses received </w:t>
      </w:r>
      <w:r w:rsidR="00F82EF7">
        <w:rPr>
          <w:rFonts w:ascii="Arial" w:eastAsia="Times New Roman" w:hAnsi="Arial" w:cs="Arial"/>
          <w:bCs/>
          <w:color w:val="222222"/>
          <w:lang w:eastAsia="en-GB"/>
        </w:rPr>
        <w:t xml:space="preserve">by men </w:t>
      </w:r>
      <w:r w:rsidR="00AF5F85">
        <w:rPr>
          <w:rFonts w:ascii="Arial" w:eastAsia="Times New Roman" w:hAnsi="Arial" w:cs="Arial"/>
          <w:bCs/>
          <w:color w:val="222222"/>
          <w:lang w:eastAsia="en-GB"/>
        </w:rPr>
        <w:t>were greater than those received by women.</w:t>
      </w:r>
      <w:r w:rsidR="006925B1">
        <w:rPr>
          <w:rFonts w:ascii="Arial" w:eastAsia="Times New Roman" w:hAnsi="Arial" w:cs="Arial"/>
          <w:bCs/>
          <w:color w:val="222222"/>
          <w:lang w:eastAsia="en-GB"/>
        </w:rPr>
        <w:t xml:space="preserve"> </w:t>
      </w:r>
    </w:p>
    <w:p w14:paraId="78A816E2" w14:textId="77777777" w:rsidR="00AB1D6D" w:rsidRDefault="00AB1D6D" w:rsidP="00E60204">
      <w:pPr>
        <w:shd w:val="clear" w:color="auto" w:fill="FFFFFF"/>
        <w:spacing w:after="150" w:line="240" w:lineRule="auto"/>
        <w:rPr>
          <w:rFonts w:ascii="Arial" w:eastAsia="Times New Roman" w:hAnsi="Arial" w:cs="Arial"/>
          <w:bCs/>
          <w:color w:val="222222"/>
          <w:lang w:eastAsia="en-GB"/>
        </w:rPr>
      </w:pPr>
    </w:p>
    <w:p w14:paraId="068970F6" w14:textId="3CB237D3" w:rsidR="008E151D" w:rsidRPr="003168B8" w:rsidRDefault="000D6D0A"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Summary</w:t>
      </w:r>
    </w:p>
    <w:p w14:paraId="76A015C1" w14:textId="1C5D6D29" w:rsidR="00134A94" w:rsidRDefault="00A25FB8"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Our gender pay gap results reflect the fact that, like many hospices and healthcare organisations, Dorothy House employs a largely female workforce</w:t>
      </w:r>
      <w:r w:rsidR="00BE6C69" w:rsidRPr="003168B8">
        <w:rPr>
          <w:rFonts w:ascii="Arial" w:eastAsia="Times New Roman" w:hAnsi="Arial" w:cs="Arial"/>
          <w:color w:val="222222"/>
          <w:lang w:eastAsia="en-GB"/>
        </w:rPr>
        <w:t xml:space="preserve">. </w:t>
      </w:r>
      <w:r w:rsidR="00B52A79">
        <w:rPr>
          <w:rFonts w:ascii="Arial" w:eastAsia="Times New Roman" w:hAnsi="Arial" w:cs="Arial"/>
          <w:color w:val="222222"/>
          <w:lang w:eastAsia="en-GB"/>
        </w:rPr>
        <w:t>There is also a higher propensity for part-time working among our female workforce than male workforce</w:t>
      </w:r>
      <w:r w:rsidR="00134A94">
        <w:rPr>
          <w:rFonts w:ascii="Arial" w:eastAsia="Times New Roman" w:hAnsi="Arial" w:cs="Arial"/>
          <w:color w:val="222222"/>
          <w:lang w:eastAsia="en-GB"/>
        </w:rPr>
        <w:t xml:space="preserve"> which affected the average bonus pay gap. </w:t>
      </w:r>
    </w:p>
    <w:p w14:paraId="61BF5107" w14:textId="7E6B54C5" w:rsidR="000D6D0A" w:rsidRDefault="00A25FB8"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 xml:space="preserve">We have strong representation of women in senior roles at Dorothy House </w:t>
      </w:r>
      <w:r w:rsidR="000E1EE8">
        <w:rPr>
          <w:rFonts w:ascii="Arial" w:eastAsia="Times New Roman" w:hAnsi="Arial" w:cs="Arial"/>
          <w:color w:val="222222"/>
          <w:lang w:eastAsia="en-GB"/>
        </w:rPr>
        <w:t xml:space="preserve">which is reflected in the </w:t>
      </w:r>
      <w:r w:rsidR="00426CD9">
        <w:rPr>
          <w:rFonts w:ascii="Arial" w:eastAsia="Times New Roman" w:hAnsi="Arial" w:cs="Arial"/>
          <w:color w:val="222222"/>
          <w:lang w:eastAsia="en-GB"/>
        </w:rPr>
        <w:t>79</w:t>
      </w:r>
      <w:r w:rsidR="000E1EE8">
        <w:rPr>
          <w:rFonts w:ascii="Arial" w:eastAsia="Times New Roman" w:hAnsi="Arial" w:cs="Arial"/>
          <w:color w:val="222222"/>
          <w:lang w:eastAsia="en-GB"/>
        </w:rPr>
        <w:t xml:space="preserve">% female membership for the upper quartile and the make-up of our </w:t>
      </w:r>
      <w:r w:rsidR="00A22DBA">
        <w:rPr>
          <w:rFonts w:ascii="Arial" w:eastAsia="Times New Roman" w:hAnsi="Arial" w:cs="Arial"/>
          <w:color w:val="222222"/>
          <w:lang w:eastAsia="en-GB"/>
        </w:rPr>
        <w:t xml:space="preserve">Executive Team which had a </w:t>
      </w:r>
      <w:r w:rsidR="00484EB4">
        <w:rPr>
          <w:rFonts w:ascii="Arial" w:eastAsia="Times New Roman" w:hAnsi="Arial" w:cs="Arial"/>
          <w:color w:val="222222"/>
          <w:lang w:eastAsia="en-GB"/>
        </w:rPr>
        <w:t>40</w:t>
      </w:r>
      <w:r w:rsidR="00A22DBA">
        <w:rPr>
          <w:rFonts w:ascii="Arial" w:eastAsia="Times New Roman" w:hAnsi="Arial" w:cs="Arial"/>
          <w:color w:val="222222"/>
          <w:lang w:eastAsia="en-GB"/>
        </w:rPr>
        <w:t>% female membership</w:t>
      </w:r>
      <w:r w:rsidR="006627AC" w:rsidRPr="003168B8">
        <w:rPr>
          <w:rFonts w:ascii="Arial" w:eastAsia="Times New Roman" w:hAnsi="Arial" w:cs="Arial"/>
          <w:color w:val="222222"/>
          <w:lang w:eastAsia="en-GB"/>
        </w:rPr>
        <w:t>.</w:t>
      </w:r>
    </w:p>
    <w:p w14:paraId="03945436" w14:textId="57938D63" w:rsidR="003168B8" w:rsidRDefault="00603E4C" w:rsidP="003168B8">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3</w:t>
      </w:r>
      <w:r w:rsidR="00AA2026">
        <w:rPr>
          <w:rFonts w:ascii="Arial" w:eastAsia="Times New Roman" w:hAnsi="Arial" w:cs="Arial"/>
          <w:color w:val="222222"/>
          <w:lang w:eastAsia="en-GB"/>
        </w:rPr>
        <w:t>9</w:t>
      </w:r>
      <w:r w:rsidR="003168B8" w:rsidRPr="003168B8">
        <w:rPr>
          <w:rFonts w:ascii="Arial" w:eastAsia="Times New Roman" w:hAnsi="Arial" w:cs="Arial"/>
          <w:color w:val="222222"/>
          <w:lang w:eastAsia="en-GB"/>
        </w:rPr>
        <w:t>% of the male workforce are in the lower quartile</w:t>
      </w:r>
      <w:r w:rsidR="008F3612">
        <w:rPr>
          <w:rFonts w:ascii="Arial" w:eastAsia="Times New Roman" w:hAnsi="Arial" w:cs="Arial"/>
          <w:color w:val="222222"/>
          <w:lang w:eastAsia="en-GB"/>
        </w:rPr>
        <w:t xml:space="preserve">, primarily </w:t>
      </w:r>
      <w:r w:rsidR="001A2BD2">
        <w:rPr>
          <w:rFonts w:ascii="Arial" w:eastAsia="Times New Roman" w:hAnsi="Arial" w:cs="Arial"/>
          <w:color w:val="222222"/>
          <w:lang w:eastAsia="en-GB"/>
        </w:rPr>
        <w:t>doing manual jobs with</w:t>
      </w:r>
      <w:r w:rsidR="001E54CD">
        <w:rPr>
          <w:rFonts w:ascii="Arial" w:eastAsia="Times New Roman" w:hAnsi="Arial" w:cs="Arial"/>
          <w:color w:val="222222"/>
          <w:lang w:eastAsia="en-GB"/>
        </w:rPr>
        <w:t>in</w:t>
      </w:r>
      <w:r w:rsidR="001A2BD2">
        <w:rPr>
          <w:rFonts w:ascii="Arial" w:eastAsia="Times New Roman" w:hAnsi="Arial" w:cs="Arial"/>
          <w:color w:val="222222"/>
          <w:lang w:eastAsia="en-GB"/>
        </w:rPr>
        <w:t xml:space="preserve"> the </w:t>
      </w:r>
      <w:r w:rsidR="001E54CD">
        <w:rPr>
          <w:rFonts w:ascii="Arial" w:eastAsia="Times New Roman" w:hAnsi="Arial" w:cs="Arial"/>
          <w:color w:val="222222"/>
          <w:lang w:eastAsia="en-GB"/>
        </w:rPr>
        <w:t>R</w:t>
      </w:r>
      <w:r w:rsidR="001A2BD2">
        <w:rPr>
          <w:rFonts w:ascii="Arial" w:eastAsia="Times New Roman" w:hAnsi="Arial" w:cs="Arial"/>
          <w:color w:val="222222"/>
          <w:lang w:eastAsia="en-GB"/>
        </w:rPr>
        <w:t>etail operations,</w:t>
      </w:r>
      <w:r w:rsidR="003168B8" w:rsidRPr="003168B8">
        <w:rPr>
          <w:rFonts w:ascii="Arial" w:eastAsia="Times New Roman" w:hAnsi="Arial" w:cs="Arial"/>
          <w:color w:val="222222"/>
          <w:lang w:eastAsia="en-GB"/>
        </w:rPr>
        <w:t xml:space="preserve"> whereas the female workforce is more evenly spread across the organisation. This imbalance results in Dorothy House’s negative gender pay gap </w:t>
      </w:r>
      <w:r w:rsidR="00A22DBA">
        <w:rPr>
          <w:rFonts w:ascii="Arial" w:eastAsia="Times New Roman" w:hAnsi="Arial" w:cs="Arial"/>
          <w:color w:val="222222"/>
          <w:lang w:eastAsia="en-GB"/>
        </w:rPr>
        <w:t xml:space="preserve">based on </w:t>
      </w:r>
      <w:r w:rsidR="00B74621">
        <w:rPr>
          <w:rFonts w:ascii="Arial" w:eastAsia="Times New Roman" w:hAnsi="Arial" w:cs="Arial"/>
          <w:color w:val="222222"/>
          <w:lang w:eastAsia="en-GB"/>
        </w:rPr>
        <w:t xml:space="preserve">both </w:t>
      </w:r>
      <w:r w:rsidR="00A22DBA">
        <w:rPr>
          <w:rFonts w:ascii="Arial" w:eastAsia="Times New Roman" w:hAnsi="Arial" w:cs="Arial"/>
          <w:color w:val="222222"/>
          <w:lang w:eastAsia="en-GB"/>
        </w:rPr>
        <w:t xml:space="preserve">the median </w:t>
      </w:r>
      <w:r w:rsidR="00B74621">
        <w:rPr>
          <w:rFonts w:ascii="Arial" w:eastAsia="Times New Roman" w:hAnsi="Arial" w:cs="Arial"/>
          <w:color w:val="222222"/>
          <w:lang w:eastAsia="en-GB"/>
        </w:rPr>
        <w:t xml:space="preserve">and mean </w:t>
      </w:r>
      <w:r w:rsidR="00A22DBA">
        <w:rPr>
          <w:rFonts w:ascii="Arial" w:eastAsia="Times New Roman" w:hAnsi="Arial" w:cs="Arial"/>
          <w:color w:val="222222"/>
          <w:lang w:eastAsia="en-GB"/>
        </w:rPr>
        <w:t xml:space="preserve">measure, </w:t>
      </w:r>
      <w:r w:rsidR="003168B8" w:rsidRPr="003168B8">
        <w:rPr>
          <w:rFonts w:ascii="Arial" w:eastAsia="Times New Roman" w:hAnsi="Arial" w:cs="Arial"/>
          <w:color w:val="222222"/>
          <w:lang w:eastAsia="en-GB"/>
        </w:rPr>
        <w:t xml:space="preserve">with male employees appearing </w:t>
      </w:r>
      <w:r w:rsidR="00A22DBA">
        <w:rPr>
          <w:rFonts w:ascii="Arial" w:eastAsia="Times New Roman" w:hAnsi="Arial" w:cs="Arial"/>
          <w:color w:val="222222"/>
          <w:lang w:eastAsia="en-GB"/>
        </w:rPr>
        <w:t xml:space="preserve">predominantly </w:t>
      </w:r>
      <w:r w:rsidR="003168B8" w:rsidRPr="003168B8">
        <w:rPr>
          <w:rFonts w:ascii="Arial" w:eastAsia="Times New Roman" w:hAnsi="Arial" w:cs="Arial"/>
          <w:color w:val="222222"/>
          <w:lang w:eastAsia="en-GB"/>
        </w:rPr>
        <w:t xml:space="preserve">at the lower end of pay. </w:t>
      </w:r>
    </w:p>
    <w:p w14:paraId="6C6F46D9" w14:textId="7337CE66" w:rsidR="00AC6DC4" w:rsidRPr="003168B8" w:rsidRDefault="00A22DBA" w:rsidP="00E60204">
      <w:pPr>
        <w:shd w:val="clear" w:color="auto" w:fill="FFFFFF"/>
        <w:spacing w:after="150" w:line="240" w:lineRule="auto"/>
        <w:rPr>
          <w:rFonts w:ascii="Arial" w:eastAsia="Times New Roman" w:hAnsi="Arial" w:cs="Arial"/>
          <w:color w:val="222222"/>
          <w:lang w:eastAsia="en-GB"/>
        </w:rPr>
      </w:pPr>
      <w:r>
        <w:rPr>
          <w:rFonts w:ascii="Arial" w:eastAsia="Times New Roman" w:hAnsi="Arial" w:cs="Arial"/>
          <w:color w:val="222222"/>
          <w:lang w:eastAsia="en-GB"/>
        </w:rPr>
        <w:t>O</w:t>
      </w:r>
      <w:r w:rsidR="00A25FB8" w:rsidRPr="003168B8">
        <w:rPr>
          <w:rFonts w:ascii="Arial" w:eastAsia="Times New Roman" w:hAnsi="Arial" w:cs="Arial"/>
          <w:color w:val="222222"/>
          <w:lang w:eastAsia="en-GB"/>
        </w:rPr>
        <w:t xml:space="preserve">ur intention remains to attract men as well as women to roles across every pay band quartile.  </w:t>
      </w:r>
      <w:r w:rsidR="00AC6DC4" w:rsidRPr="003168B8">
        <w:rPr>
          <w:rFonts w:ascii="Arial" w:hAnsi="Arial" w:cs="Arial"/>
          <w:color w:val="333333"/>
        </w:rPr>
        <w:t xml:space="preserve">Gender balance </w:t>
      </w:r>
      <w:r w:rsidR="00BE6C69" w:rsidRPr="003168B8">
        <w:rPr>
          <w:rFonts w:ascii="Arial" w:hAnsi="Arial" w:cs="Arial"/>
          <w:color w:val="333333"/>
        </w:rPr>
        <w:t>and diversity are important in ensuring</w:t>
      </w:r>
      <w:r w:rsidR="00AC6DC4" w:rsidRPr="003168B8">
        <w:rPr>
          <w:rFonts w:ascii="Arial" w:hAnsi="Arial" w:cs="Arial"/>
          <w:color w:val="333333"/>
        </w:rPr>
        <w:t xml:space="preserve"> that organisations have a combination of masculine and feminine appr</w:t>
      </w:r>
      <w:r w:rsidR="00BF6C31" w:rsidRPr="003168B8">
        <w:rPr>
          <w:rFonts w:ascii="Arial" w:hAnsi="Arial" w:cs="Arial"/>
          <w:color w:val="333333"/>
        </w:rPr>
        <w:t>oaches and solutions</w:t>
      </w:r>
      <w:r w:rsidR="00BE6C69" w:rsidRPr="003168B8">
        <w:rPr>
          <w:rFonts w:ascii="Arial" w:hAnsi="Arial" w:cs="Arial"/>
          <w:color w:val="333333"/>
        </w:rPr>
        <w:t>,</w:t>
      </w:r>
      <w:r w:rsidR="00BF6C31" w:rsidRPr="003168B8">
        <w:rPr>
          <w:rFonts w:ascii="Arial" w:hAnsi="Arial" w:cs="Arial"/>
          <w:color w:val="333333"/>
        </w:rPr>
        <w:t xml:space="preserve"> making them more effective and </w:t>
      </w:r>
      <w:r w:rsidR="00AC6DC4" w:rsidRPr="003168B8">
        <w:rPr>
          <w:rFonts w:ascii="Arial" w:hAnsi="Arial" w:cs="Arial"/>
          <w:color w:val="333333"/>
        </w:rPr>
        <w:t>resilient.</w:t>
      </w:r>
    </w:p>
    <w:p w14:paraId="03FDEB9F" w14:textId="77777777" w:rsidR="000D6D0A" w:rsidRPr="003168B8" w:rsidRDefault="000D6D0A" w:rsidP="00E60204">
      <w:pPr>
        <w:shd w:val="clear" w:color="auto" w:fill="FFFFFF"/>
        <w:spacing w:after="150" w:line="240" w:lineRule="auto"/>
        <w:rPr>
          <w:rFonts w:ascii="Arial" w:eastAsia="Times New Roman" w:hAnsi="Arial" w:cs="Arial"/>
          <w:color w:val="222222"/>
          <w:lang w:eastAsia="en-GB"/>
        </w:rPr>
      </w:pPr>
    </w:p>
    <w:p w14:paraId="3F44DEBF" w14:textId="77777777" w:rsidR="00BE6C69" w:rsidRPr="003168B8" w:rsidRDefault="00BE6C69" w:rsidP="00E60204">
      <w:pPr>
        <w:shd w:val="clear" w:color="auto" w:fill="FFFFFF"/>
        <w:spacing w:after="150" w:line="240" w:lineRule="auto"/>
        <w:rPr>
          <w:rFonts w:ascii="Arial" w:eastAsia="Times New Roman" w:hAnsi="Arial" w:cs="Arial"/>
          <w:b/>
          <w:color w:val="222222"/>
          <w:lang w:eastAsia="en-GB"/>
        </w:rPr>
      </w:pPr>
      <w:r w:rsidRPr="003168B8">
        <w:rPr>
          <w:rFonts w:ascii="Arial" w:eastAsia="Times New Roman" w:hAnsi="Arial" w:cs="Arial"/>
          <w:b/>
          <w:color w:val="222222"/>
          <w:lang w:eastAsia="en-GB"/>
        </w:rPr>
        <w:t>Statement</w:t>
      </w:r>
    </w:p>
    <w:p w14:paraId="502210C4" w14:textId="685BCB40" w:rsidR="00BE6C69" w:rsidRPr="003168B8" w:rsidRDefault="00BE6C69" w:rsidP="00E60204">
      <w:pPr>
        <w:shd w:val="clear" w:color="auto" w:fill="FFFFFF"/>
        <w:spacing w:after="150" w:line="240" w:lineRule="auto"/>
        <w:rPr>
          <w:rFonts w:ascii="Arial" w:eastAsia="Times New Roman" w:hAnsi="Arial" w:cs="Arial"/>
          <w:color w:val="222222"/>
          <w:lang w:eastAsia="en-GB"/>
        </w:rPr>
      </w:pPr>
      <w:r w:rsidRPr="003168B8">
        <w:rPr>
          <w:rFonts w:ascii="Arial" w:eastAsia="Times New Roman" w:hAnsi="Arial" w:cs="Arial"/>
          <w:color w:val="222222"/>
          <w:lang w:eastAsia="en-GB"/>
        </w:rPr>
        <w:t>I confirm that Dorothy House Hospice Care is committed to the principle of gender pay equality and has prepared its 20</w:t>
      </w:r>
      <w:r w:rsidR="00153DB2">
        <w:rPr>
          <w:rFonts w:ascii="Arial" w:eastAsia="Times New Roman" w:hAnsi="Arial" w:cs="Arial"/>
          <w:color w:val="222222"/>
          <w:lang w:eastAsia="en-GB"/>
        </w:rPr>
        <w:t>2</w:t>
      </w:r>
      <w:r w:rsidR="005D7D9A">
        <w:rPr>
          <w:rFonts w:ascii="Arial" w:eastAsia="Times New Roman" w:hAnsi="Arial" w:cs="Arial"/>
          <w:color w:val="222222"/>
          <w:lang w:eastAsia="en-GB"/>
        </w:rPr>
        <w:t>5</w:t>
      </w:r>
      <w:r w:rsidRPr="003168B8">
        <w:rPr>
          <w:rFonts w:ascii="Arial" w:eastAsia="Times New Roman" w:hAnsi="Arial" w:cs="Arial"/>
          <w:color w:val="222222"/>
          <w:lang w:eastAsia="en-GB"/>
        </w:rPr>
        <w:t xml:space="preserve"> gender pay gap results in line with mandatory requirements. </w:t>
      </w:r>
    </w:p>
    <w:p w14:paraId="45E9FEB4" w14:textId="77777777" w:rsidR="00BE6C69" w:rsidRPr="003168B8" w:rsidRDefault="00BE6C69" w:rsidP="00E60204">
      <w:pPr>
        <w:shd w:val="clear" w:color="auto" w:fill="FFFFFF"/>
        <w:spacing w:after="150" w:line="240" w:lineRule="auto"/>
        <w:rPr>
          <w:rFonts w:ascii="Arial" w:eastAsia="Times New Roman" w:hAnsi="Arial" w:cs="Arial"/>
          <w:color w:val="222222"/>
          <w:lang w:eastAsia="en-GB"/>
        </w:rPr>
      </w:pPr>
    </w:p>
    <w:p w14:paraId="3CDD0E84" w14:textId="2857033E" w:rsidR="00BE6C69" w:rsidRPr="003168B8" w:rsidRDefault="000B1FCC" w:rsidP="00E60204">
      <w:pPr>
        <w:shd w:val="clear" w:color="auto" w:fill="FFFFFF"/>
        <w:spacing w:after="150" w:line="240" w:lineRule="auto"/>
        <w:rPr>
          <w:rFonts w:ascii="Arial" w:eastAsia="Times New Roman" w:hAnsi="Arial" w:cs="Arial"/>
          <w:b/>
          <w:color w:val="222222"/>
          <w:lang w:eastAsia="en-GB"/>
        </w:rPr>
      </w:pPr>
      <w:r>
        <w:rPr>
          <w:rFonts w:ascii="Arial" w:eastAsia="Times New Roman" w:hAnsi="Arial" w:cs="Arial"/>
          <w:b/>
          <w:color w:val="222222"/>
          <w:lang w:eastAsia="en-GB"/>
        </w:rPr>
        <w:t xml:space="preserve">Tony De Jaeger </w:t>
      </w:r>
    </w:p>
    <w:p w14:paraId="3BBDC4D5" w14:textId="6002240F" w:rsidR="008E151D" w:rsidRPr="003168B8" w:rsidRDefault="00FF0F8B" w:rsidP="00E60204">
      <w:pPr>
        <w:shd w:val="clear" w:color="auto" w:fill="FFFFFF"/>
        <w:spacing w:after="150" w:line="240" w:lineRule="auto"/>
        <w:rPr>
          <w:rFonts w:ascii="Arial" w:eastAsia="Times New Roman" w:hAnsi="Arial" w:cs="Arial"/>
          <w:color w:val="222222"/>
          <w:lang w:eastAsia="en-GB"/>
        </w:rPr>
      </w:pPr>
      <w:r w:rsidRPr="00FF0F8B">
        <w:rPr>
          <w:rFonts w:ascii="Arial" w:eastAsia="Times New Roman" w:hAnsi="Arial" w:cs="Arial"/>
          <w:b/>
          <w:color w:val="222222"/>
          <w:lang w:eastAsia="en-GB"/>
        </w:rPr>
        <w:t>Deputy Chief Executive &amp; Director of Finance</w:t>
      </w:r>
    </w:p>
    <w:p w14:paraId="7A3504C1" w14:textId="77777777" w:rsidR="008E151D" w:rsidRPr="003168B8" w:rsidRDefault="008E151D" w:rsidP="00E60204">
      <w:pPr>
        <w:shd w:val="clear" w:color="auto" w:fill="FFFFFF"/>
        <w:spacing w:after="150" w:line="240" w:lineRule="auto"/>
        <w:rPr>
          <w:rFonts w:ascii="Arial" w:eastAsia="Times New Roman" w:hAnsi="Arial" w:cs="Arial"/>
          <w:color w:val="222222"/>
          <w:lang w:eastAsia="en-GB"/>
        </w:rPr>
      </w:pPr>
    </w:p>
    <w:p w14:paraId="5F045719" w14:textId="77777777" w:rsidR="00E60204" w:rsidRPr="003168B8" w:rsidRDefault="00E60204">
      <w:pPr>
        <w:rPr>
          <w:rFonts w:ascii="Arial" w:hAnsi="Arial" w:cs="Arial"/>
        </w:rPr>
      </w:pPr>
    </w:p>
    <w:sectPr w:rsidR="00E60204" w:rsidRPr="003168B8" w:rsidSect="00316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7EDC"/>
    <w:multiLevelType w:val="hybridMultilevel"/>
    <w:tmpl w:val="1C5C6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93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04"/>
    <w:rsid w:val="000929E4"/>
    <w:rsid w:val="00096530"/>
    <w:rsid w:val="000B0794"/>
    <w:rsid w:val="000B0BCA"/>
    <w:rsid w:val="000B1FCC"/>
    <w:rsid w:val="000D483A"/>
    <w:rsid w:val="000D54B8"/>
    <w:rsid w:val="000D6D0A"/>
    <w:rsid w:val="000E1EE8"/>
    <w:rsid w:val="000F221F"/>
    <w:rsid w:val="000F3B94"/>
    <w:rsid w:val="00110FDF"/>
    <w:rsid w:val="00116742"/>
    <w:rsid w:val="00120BDE"/>
    <w:rsid w:val="00134A94"/>
    <w:rsid w:val="0014479E"/>
    <w:rsid w:val="00153DB2"/>
    <w:rsid w:val="00181625"/>
    <w:rsid w:val="0018448A"/>
    <w:rsid w:val="001A2BD2"/>
    <w:rsid w:val="001A347C"/>
    <w:rsid w:val="001B2138"/>
    <w:rsid w:val="001B3731"/>
    <w:rsid w:val="001B6BF6"/>
    <w:rsid w:val="001C1EC6"/>
    <w:rsid w:val="001E54CD"/>
    <w:rsid w:val="00241D80"/>
    <w:rsid w:val="00256BAA"/>
    <w:rsid w:val="00274D05"/>
    <w:rsid w:val="002A539D"/>
    <w:rsid w:val="002A66A0"/>
    <w:rsid w:val="002B7CFB"/>
    <w:rsid w:val="002D0732"/>
    <w:rsid w:val="002F1F78"/>
    <w:rsid w:val="003168B8"/>
    <w:rsid w:val="003240D1"/>
    <w:rsid w:val="0035386A"/>
    <w:rsid w:val="003647E0"/>
    <w:rsid w:val="003A5D9A"/>
    <w:rsid w:val="003A7C05"/>
    <w:rsid w:val="003B2B53"/>
    <w:rsid w:val="003B467D"/>
    <w:rsid w:val="003C33F1"/>
    <w:rsid w:val="003D79A5"/>
    <w:rsid w:val="003F735C"/>
    <w:rsid w:val="00411F44"/>
    <w:rsid w:val="004260D0"/>
    <w:rsid w:val="00426CD9"/>
    <w:rsid w:val="00430CB3"/>
    <w:rsid w:val="00435610"/>
    <w:rsid w:val="0047022A"/>
    <w:rsid w:val="00477483"/>
    <w:rsid w:val="00484EB4"/>
    <w:rsid w:val="004A1CBF"/>
    <w:rsid w:val="004E054B"/>
    <w:rsid w:val="004F3E66"/>
    <w:rsid w:val="005107D9"/>
    <w:rsid w:val="00510C13"/>
    <w:rsid w:val="005343F4"/>
    <w:rsid w:val="00535A25"/>
    <w:rsid w:val="00580409"/>
    <w:rsid w:val="0059569E"/>
    <w:rsid w:val="005A4392"/>
    <w:rsid w:val="005D01DF"/>
    <w:rsid w:val="005D7D9A"/>
    <w:rsid w:val="005E2627"/>
    <w:rsid w:val="00603E4C"/>
    <w:rsid w:val="006519F5"/>
    <w:rsid w:val="006627AC"/>
    <w:rsid w:val="00670872"/>
    <w:rsid w:val="006832C5"/>
    <w:rsid w:val="006925B1"/>
    <w:rsid w:val="006D2C4C"/>
    <w:rsid w:val="006E7462"/>
    <w:rsid w:val="007018AA"/>
    <w:rsid w:val="0070252A"/>
    <w:rsid w:val="00702E02"/>
    <w:rsid w:val="00706B17"/>
    <w:rsid w:val="00721E1C"/>
    <w:rsid w:val="0076798E"/>
    <w:rsid w:val="0077195F"/>
    <w:rsid w:val="00780CAB"/>
    <w:rsid w:val="0078224C"/>
    <w:rsid w:val="007835B0"/>
    <w:rsid w:val="00795839"/>
    <w:rsid w:val="007A780E"/>
    <w:rsid w:val="007F39E8"/>
    <w:rsid w:val="00833F49"/>
    <w:rsid w:val="00894C2F"/>
    <w:rsid w:val="008D0752"/>
    <w:rsid w:val="008D79EA"/>
    <w:rsid w:val="008E151D"/>
    <w:rsid w:val="008F0946"/>
    <w:rsid w:val="008F3612"/>
    <w:rsid w:val="00906DC0"/>
    <w:rsid w:val="00954A9F"/>
    <w:rsid w:val="00971022"/>
    <w:rsid w:val="009D0DEE"/>
    <w:rsid w:val="009D6970"/>
    <w:rsid w:val="009E572A"/>
    <w:rsid w:val="00A22DBA"/>
    <w:rsid w:val="00A25FB8"/>
    <w:rsid w:val="00A96E39"/>
    <w:rsid w:val="00AA2026"/>
    <w:rsid w:val="00AA6E6E"/>
    <w:rsid w:val="00AB1D6D"/>
    <w:rsid w:val="00AB3CF0"/>
    <w:rsid w:val="00AB5C4A"/>
    <w:rsid w:val="00AC3FF4"/>
    <w:rsid w:val="00AC6DC4"/>
    <w:rsid w:val="00AF5F85"/>
    <w:rsid w:val="00B0770E"/>
    <w:rsid w:val="00B2192A"/>
    <w:rsid w:val="00B52A79"/>
    <w:rsid w:val="00B74621"/>
    <w:rsid w:val="00B77F86"/>
    <w:rsid w:val="00B91EB7"/>
    <w:rsid w:val="00B93BB2"/>
    <w:rsid w:val="00BC1B9B"/>
    <w:rsid w:val="00BE6C69"/>
    <w:rsid w:val="00BE7632"/>
    <w:rsid w:val="00BF18E9"/>
    <w:rsid w:val="00BF6C31"/>
    <w:rsid w:val="00C07D7C"/>
    <w:rsid w:val="00C62903"/>
    <w:rsid w:val="00C940F0"/>
    <w:rsid w:val="00CA3005"/>
    <w:rsid w:val="00CC1D04"/>
    <w:rsid w:val="00CC580D"/>
    <w:rsid w:val="00CC7DE1"/>
    <w:rsid w:val="00CD59FC"/>
    <w:rsid w:val="00D426DA"/>
    <w:rsid w:val="00D42C03"/>
    <w:rsid w:val="00D814E2"/>
    <w:rsid w:val="00D93FFC"/>
    <w:rsid w:val="00DA131F"/>
    <w:rsid w:val="00DA2F81"/>
    <w:rsid w:val="00DB4575"/>
    <w:rsid w:val="00DD0F34"/>
    <w:rsid w:val="00DF04AF"/>
    <w:rsid w:val="00E10B5D"/>
    <w:rsid w:val="00E22C3B"/>
    <w:rsid w:val="00E60204"/>
    <w:rsid w:val="00E67F4F"/>
    <w:rsid w:val="00E94888"/>
    <w:rsid w:val="00EA25D6"/>
    <w:rsid w:val="00EC00FF"/>
    <w:rsid w:val="00ED02E8"/>
    <w:rsid w:val="00EE4382"/>
    <w:rsid w:val="00F23137"/>
    <w:rsid w:val="00F30F03"/>
    <w:rsid w:val="00F82EF7"/>
    <w:rsid w:val="00F865EE"/>
    <w:rsid w:val="00FC71F1"/>
    <w:rsid w:val="00FD096D"/>
    <w:rsid w:val="00FD67B5"/>
    <w:rsid w:val="00FF0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230E"/>
  <w15:chartTrackingRefBased/>
  <w15:docId w15:val="{BAD3D64F-0385-4798-892E-F121BBD0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C13"/>
    <w:rPr>
      <w:rFonts w:ascii="Segoe UI" w:hAnsi="Segoe UI" w:cs="Segoe UI"/>
      <w:sz w:val="18"/>
      <w:szCs w:val="18"/>
    </w:rPr>
  </w:style>
  <w:style w:type="paragraph" w:styleId="Revision">
    <w:name w:val="Revision"/>
    <w:hidden/>
    <w:uiPriority w:val="99"/>
    <w:semiHidden/>
    <w:rsid w:val="00153DB2"/>
    <w:pPr>
      <w:spacing w:after="0" w:line="240" w:lineRule="auto"/>
    </w:pPr>
  </w:style>
  <w:style w:type="paragraph" w:styleId="ListParagraph">
    <w:name w:val="List Paragraph"/>
    <w:basedOn w:val="Normal"/>
    <w:uiPriority w:val="34"/>
    <w:qFormat/>
    <w:rsid w:val="00702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93243">
      <w:bodyDiv w:val="1"/>
      <w:marLeft w:val="0"/>
      <w:marRight w:val="0"/>
      <w:marTop w:val="0"/>
      <w:marBottom w:val="0"/>
      <w:divBdr>
        <w:top w:val="none" w:sz="0" w:space="0" w:color="auto"/>
        <w:left w:val="none" w:sz="0" w:space="0" w:color="auto"/>
        <w:bottom w:val="none" w:sz="0" w:space="0" w:color="auto"/>
        <w:right w:val="none" w:sz="0" w:space="0" w:color="auto"/>
      </w:divBdr>
    </w:div>
    <w:div w:id="1280183807">
      <w:bodyDiv w:val="1"/>
      <w:marLeft w:val="0"/>
      <w:marRight w:val="0"/>
      <w:marTop w:val="0"/>
      <w:marBottom w:val="0"/>
      <w:divBdr>
        <w:top w:val="none" w:sz="0" w:space="0" w:color="auto"/>
        <w:left w:val="none" w:sz="0" w:space="0" w:color="auto"/>
        <w:bottom w:val="none" w:sz="0" w:space="0" w:color="auto"/>
        <w:right w:val="none" w:sz="0" w:space="0" w:color="auto"/>
      </w:divBdr>
    </w:div>
    <w:div w:id="20291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82F7891C1AF488FD61A7DFDE3CE2D" ma:contentTypeVersion="12" ma:contentTypeDescription="Create a new document." ma:contentTypeScope="" ma:versionID="9e21265b098fdfb426db8dffeee9956e">
  <xsd:schema xmlns:xsd="http://www.w3.org/2001/XMLSchema" xmlns:xs="http://www.w3.org/2001/XMLSchema" xmlns:p="http://schemas.microsoft.com/office/2006/metadata/properties" xmlns:ns2="a7c5357f-8d3a-4b2d-9304-bd11f5808ad0" xmlns:ns3="699c01cf-ab7d-4a17-9478-7b3e79e74585" targetNamespace="http://schemas.microsoft.com/office/2006/metadata/properties" ma:root="true" ma:fieldsID="97cacac600f05b2aacf497e2d027b831" ns2:_="" ns3:_="">
    <xsd:import namespace="a7c5357f-8d3a-4b2d-9304-bd11f5808ad0"/>
    <xsd:import namespace="699c01cf-ab7d-4a17-9478-7b3e79e74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357f-8d3a-4b2d-9304-bd11f5808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f3de93-9145-4ddc-8765-5b7cb69649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c01cf-ab7d-4a17-9478-7b3e79e7458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ee6455-1b0b-4140-bd89-bf8ed16869d4}" ma:internalName="TaxCatchAll" ma:showField="CatchAllData" ma:web="699c01cf-ab7d-4a17-9478-7b3e79e74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9c01cf-ab7d-4a17-9478-7b3e79e74585" xsi:nil="true"/>
    <lcf76f155ced4ddcb4097134ff3c332f xmlns="a7c5357f-8d3a-4b2d-9304-bd11f5808a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974BF-573D-460F-A50A-690D5111A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5357f-8d3a-4b2d-9304-bd11f5808ad0"/>
    <ds:schemaRef ds:uri="699c01cf-ab7d-4a17-9478-7b3e79e74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AB4CE-A1D0-4EA5-8CBA-FFD0471FA887}">
  <ds:schemaRefs>
    <ds:schemaRef ds:uri="http://schemas.microsoft.com/sharepoint/v3/contenttype/forms"/>
  </ds:schemaRefs>
</ds:datastoreItem>
</file>

<file path=customXml/itemProps3.xml><?xml version="1.0" encoding="utf-8"?>
<ds:datastoreItem xmlns:ds="http://schemas.openxmlformats.org/officeDocument/2006/customXml" ds:itemID="{7F8D98CA-F0A4-4EEC-A1A9-574BE6941BE2}">
  <ds:schemaRefs>
    <ds:schemaRef ds:uri="http://schemas.microsoft.com/office/2006/metadata/properties"/>
    <ds:schemaRef ds:uri="http://schemas.microsoft.com/office/infopath/2007/PartnerControls"/>
    <ds:schemaRef ds:uri="699c01cf-ab7d-4a17-9478-7b3e79e74585"/>
    <ds:schemaRef ds:uri="a7c5357f-8d3a-4b2d-9304-bd11f5808ad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958</Words>
  <Characters>4580</Characters>
  <Application>Microsoft Office Word</Application>
  <DocSecurity>0</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Company>Dorothy House Hospice Care</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Madel</dc:creator>
  <cp:keywords/>
  <dc:description/>
  <cp:lastModifiedBy>Martyn Smith</cp:lastModifiedBy>
  <cp:revision>5</cp:revision>
  <cp:lastPrinted>2023-03-31T12:33:00Z</cp:lastPrinted>
  <dcterms:created xsi:type="dcterms:W3CDTF">2026-04-02T15:29:00Z</dcterms:created>
  <dcterms:modified xsi:type="dcterms:W3CDTF">2026-04-02T15:41:00Z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0x010100F6582F7891C1AF488FD61A7DFDE3CE2D</vt:lpwstr>
  </property>
  <property fmtid="{D5CDD505-2E9C-101B-9397-08002B2CF9AE}" pid="3" name="Order">
    <vt:r8>2948400</vt:r8>
  </property>
  <property fmtid="{D5CDD505-2E9C-101B-9397-08002B2CF9AE}" pid="4" name="MediaServiceImageTags">
    <vt:lpwstr/>
  </property>
</Properties>
</file>